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/>
            <w:bookmarkStart w:id="0" w:name="_Hlk135317935"/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«22» мая 2026 года № 6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Закупочная документация о проведении предварительного отбора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 на оказание услуг «Р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азмещение готового видеоролика»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/>
      <w:bookmarkStart w:id="1" w:name="_Hlk135233831"/>
      <w:r>
        <w:rPr>
          <w:rFonts w:eastAsia="Times New Roman"/>
          <w:sz w:val="24"/>
          <w:szCs w:val="24"/>
          <w:highlight w:val="white"/>
          <w:lang w:eastAsia="ru-RU"/>
        </w:rPr>
        <w:t xml:space="preserve">г.  Петропавловск-Камчатский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>
        <w:tblPrEx/>
        <w:trPr>
          <w:trHeight w:val="355"/>
        </w:trPr>
        <w:tc>
          <w:tcPr>
            <w:tcW w:w="50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«27» мая 2026 года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028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14 </w:t>
            </w:r>
            <w:bookmarkEnd w:id="1"/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  <w:highlight w:val="white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) 215-250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Способ закупки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Предварительный отбор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Объект закупки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Оказание услуги по размещению готового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видеоролика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Наименование услуги, получатели, состав услуги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Наименование: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Размещение готового видеоролика</w:t>
            </w:r>
            <w:r>
              <w:rPr>
                <w:sz w:val="24"/>
                <w:szCs w:val="24"/>
                <w:highlight w:val="white"/>
              </w:rPr>
              <w:t xml:space="preserve">» (далее – услуга).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Получатели: субъекты малого и среднего предпринимательства Камчатского края (далее – Получатель).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0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Размещение видеоролика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, изготовленного в рамках договоров, ранее заключенных с автономной некоммерческой организацией «Камчатский центр поддержки предпринимательства»,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в средствах массовой информации (территория вещания –</w:t>
            </w:r>
            <w:r>
              <w:rPr>
                <w:sz w:val="24"/>
                <w:szCs w:val="24"/>
                <w:highlight w:val="white"/>
              </w:rPr>
              <w:t xml:space="preserve"> Камчатский край)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: хронометраж видеоролика – не менее 20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не более 30 </w:t>
            </w:r>
            <w:r>
              <w:rPr>
                <w:rFonts w:eastAsia="Times New Roman"/>
                <w:sz w:val="24"/>
                <w:szCs w:val="24"/>
              </w:rPr>
              <w:t xml:space="preserve">секунд, общий хронометраж </w:t>
            </w:r>
            <w:r>
              <w:rPr>
                <w:rFonts w:eastAsia="Times New Roman"/>
                <w:sz w:val="24"/>
                <w:szCs w:val="24"/>
              </w:rPr>
              <w:t xml:space="preserve">проката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–</w:t>
            </w:r>
            <w:r>
              <w:rPr>
                <w:rFonts w:eastAsia="Times New Roman"/>
                <w:sz w:val="24"/>
                <w:szCs w:val="24"/>
              </w:rPr>
              <w:t xml:space="preserve"> не менее 4000 секунд, врем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я выхода в эфир определяется Исполнителем по согласованию с Получателем.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0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</w:t>
            </w:r>
            <w:r>
              <w:rPr>
                <w:rFonts w:eastAsia="Times New Roman"/>
                <w:sz w:val="24"/>
                <w:szCs w:val="24"/>
              </w:rPr>
              <w:t xml:space="preserve">идеоролик должен быть направлен на содействие в проведении информационных кампаний.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Основные </w:t>
            </w:r>
            <w:r>
              <w:rPr>
                <w:b/>
                <w:sz w:val="24"/>
                <w:szCs w:val="24"/>
                <w:highlight w:val="white"/>
              </w:rPr>
              <w:t xml:space="preserve">условия оказания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79"/>
              <w:numPr>
                <w:ilvl w:val="0"/>
                <w:numId w:val="12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2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Услуга оказывается на условиях софинансирования со стороны Получателя. Размер софинансирования устанавливается договором.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2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37" w:firstLine="0"/>
              <w:tabs>
                <w:tab w:val="left" w:pos="317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- оказывать услугу в 2026 году в соответствии с ценовым предложением, представленном в составе заявки на участие в предварительном отборе;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оказывать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сроки и на условиях, установленных договором, предоставить Заказчику отчет об оказании услуги, акт оказанных услуг и счет на оплату.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</w:t>
            </w:r>
            <w:r>
              <w:rPr>
                <w:sz w:val="24"/>
                <w:szCs w:val="24"/>
                <w:highlight w:val="white"/>
              </w:rPr>
              <w:t xml:space="preserve">читаемы, не содержать рукописных добавлений, исправлений, содержать четкие графические материалы;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при предоставлении в составе заявки на участие в предварительном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  <w:highlight w:val="white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  <w:highlight w:val="white"/>
              </w:rPr>
              <w:t xml:space="preserve">третьих лиц к оказанию услуги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  <w:t xml:space="preserve">- 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</w:t>
            </w:r>
            <w:r>
              <w:rPr>
                <w:bCs/>
                <w:sz w:val="24"/>
                <w:szCs w:val="24"/>
                <w:highlight w:val="white"/>
              </w:rPr>
              <w:t xml:space="preserve">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случае просрочки Исполнителем исполнения обязательств, Заказчик вправе потребовать уплату неустойки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не использовать полученные средства для приобретения иностранной валюты, за исключением операций, осуществляемых</w:t>
            </w:r>
            <w:r>
              <w:rPr>
                <w:sz w:val="24"/>
                <w:szCs w:val="24"/>
                <w:highlight w:val="white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оказания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Получатель предоставляет Исполнителю видеоролик на проверку его соответствия требованиям, предъявляемым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статьей 4 Закона РФ от 27.12.1991 №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2124-1 «О средствах массовой информации»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путем направления ссылки на облачное хранилище, где размещена запись видеоролика.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Ответственность за соблюдение авторских и лицензионных прав возлагается на Получателя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В</w:t>
            </w:r>
            <w:r>
              <w:rPr>
                <w:bCs/>
                <w:sz w:val="24"/>
                <w:szCs w:val="24"/>
              </w:rPr>
              <w:t xml:space="preserve">идеоролик в обязательном порядке </w:t>
            </w:r>
            <w:r>
              <w:rPr>
                <w:bCs/>
                <w:sz w:val="24"/>
                <w:szCs w:val="24"/>
              </w:rPr>
              <w:t xml:space="preserve">должен содержать текст</w:t>
            </w:r>
            <w:r>
              <w:rPr>
                <w:bCs/>
                <w:sz w:val="24"/>
                <w:szCs w:val="24"/>
              </w:rPr>
              <w:t xml:space="preserve">: «Видеоролик </w:t>
            </w:r>
            <w:r>
              <w:rPr>
                <w:bCs/>
                <w:sz w:val="24"/>
                <w:szCs w:val="24"/>
              </w:rPr>
              <w:t xml:space="preserve">размещен</w:t>
            </w:r>
            <w:r>
              <w:rPr>
                <w:bCs/>
                <w:sz w:val="24"/>
                <w:szCs w:val="24"/>
              </w:rPr>
              <w:t xml:space="preserve"> при поддержке Центра «Мой </w:t>
            </w:r>
            <w:r>
              <w:rPr>
                <w:bCs/>
                <w:sz w:val="24"/>
                <w:szCs w:val="24"/>
              </w:rPr>
              <w:t xml:space="preserve">б</w:t>
            </w:r>
            <w:r>
              <w:rPr>
                <w:bCs/>
                <w:sz w:val="24"/>
                <w:szCs w:val="24"/>
              </w:rPr>
              <w:t xml:space="preserve">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878"/>
                  <w:bCs/>
                  <w:sz w:val="24"/>
                  <w:szCs w:val="24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</w:rPr>
              <w:t xml:space="preserve">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необходимости Исполнитель осуществляет корректировку ранее созданного видеоролика в части его соответствия требованиям пункта 3 настоящего раздела.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размещает видеоролик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в средствах массовой информации. Время выхода видеоролика в эфир согласовывается с Получателем.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сроки и на условиях, установленных договором, Исполнитель предоставляет Заказчику отчет об оказании услуги с </w:t>
            </w:r>
            <w:r>
              <w:rPr>
                <w:sz w:val="24"/>
                <w:szCs w:val="24"/>
                <w:highlight w:val="white"/>
              </w:rPr>
              <w:t xml:space="preserve">информацией о размещении видеоролика, с приложением эфирной(ых) справки(ок), </w:t>
            </w:r>
            <w:r>
              <w:rPr>
                <w:bCs/>
                <w:sz w:val="24"/>
                <w:szCs w:val="24"/>
                <w:highlight w:val="white"/>
              </w:rPr>
              <w:t xml:space="preserve">акт оказанных услуг и счет на оплату.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Требования к содержанию, форме, оформлению заявки на участие в предварительном отборе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contextualSpacing w:val="0"/>
              <w:ind w:left="0" w:firstLine="0"/>
              <w:tabs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3"/>
              </w:numPr>
              <w:contextualSpacing w:val="0"/>
              <w:ind w:left="0" w:firstLine="0"/>
              <w:tabs>
                <w:tab w:val="left" w:pos="60" w:leader="none"/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Заявление </w:t>
            </w:r>
            <w:r>
              <w:rPr>
                <w:sz w:val="24"/>
                <w:szCs w:val="24"/>
                <w:highlight w:val="white"/>
              </w:rPr>
              <w:t xml:space="preserve">на участие в предварительном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1 к закупочной документации.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Справка, подтверждающая соответствие участника предварительного отбора требованиям, установленным закупочной документацией. Рекомендуемая форма справки установлена приложением 6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Согласие на обработку персональных данных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Сведения о соисполнителях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3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4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5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Ценовое предложение на объект закупки на 2026 год.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Цена объекта закупки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contextualSpacing w:val="0"/>
              <w:ind w:left="0" w:firstLine="0"/>
              <w:tabs>
                <w:tab w:val="left" w:pos="314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определяется условиями договора, но не более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35 000,00</w:t>
            </w:r>
            <w:r>
              <w:rPr>
                <w:sz w:val="24"/>
                <w:szCs w:val="24"/>
                <w:highlight w:val="white"/>
              </w:rPr>
              <w:t xml:space="preserve"> рублей за 1 услугу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314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3"/>
                <w:szCs w:val="23"/>
              </w:rPr>
              <w:t xml:space="preserve">Цена</w:t>
            </w:r>
            <w:r>
              <w:rPr>
                <w:sz w:val="23"/>
                <w:szCs w:val="23"/>
              </w:rPr>
              <w:t xml:space="preserve"> является итоговой,</w:t>
            </w:r>
            <w:r>
              <w:rPr>
                <w:sz w:val="23"/>
                <w:szCs w:val="23"/>
              </w:rPr>
              <w:t xml:space="preserve"> включает</w:t>
            </w:r>
            <w:r>
              <w:rPr>
                <w:sz w:val="23"/>
                <w:szCs w:val="23"/>
              </w:rPr>
              <w:t xml:space="preserve"> в себя</w:t>
            </w:r>
            <w:r>
              <w:rPr>
                <w:sz w:val="23"/>
                <w:szCs w:val="23"/>
              </w:rPr>
              <w:t xml:space="preserve"> стоимость всех расходов, связанных с оказанием услуг</w:t>
            </w:r>
            <w:r>
              <w:rPr>
                <w:sz w:val="23"/>
                <w:szCs w:val="23"/>
              </w:rPr>
              <w:t xml:space="preserve">и, в том числе налоги.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Сроки и порядок оплаты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п</w:t>
            </w:r>
            <w:r>
              <w:rPr>
                <w:sz w:val="24"/>
                <w:szCs w:val="24"/>
                <w:highlight w:val="white"/>
              </w:rPr>
              <w:t xml:space="preserve">редварительном отборе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506, либо посредством предоставления сканированных документов на электронную почту </w:t>
            </w:r>
            <w:hyperlink r:id="rId12" w:tooltip="mailto:ur@mb41.ru" w:history="1">
              <w:r>
                <w:rPr>
                  <w:rStyle w:val="878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878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последующим направлением (досылкой) соответствующих документов на бумажном носителе в адрес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заказчику </w:t>
            </w:r>
            <w:r>
              <w:rPr>
                <w:sz w:val="24"/>
                <w:szCs w:val="24"/>
                <w:highlight w:val="white"/>
              </w:rPr>
              <w:t xml:space="preserve">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</w:t>
            </w:r>
            <w:r>
              <w:rPr>
                <w:sz w:val="24"/>
                <w:szCs w:val="24"/>
                <w:highlight w:val="white"/>
              </w:rPr>
              <w:t xml:space="preserve">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</w:t>
            </w:r>
            <w:r>
              <w:rPr>
                <w:sz w:val="24"/>
                <w:szCs w:val="24"/>
                <w:highlight w:val="white"/>
              </w:rPr>
              <w:t xml:space="preserve">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</w:t>
            </w:r>
            <w:r>
              <w:rPr>
                <w:sz w:val="24"/>
                <w:szCs w:val="24"/>
                <w:highlight w:val="white"/>
              </w:rPr>
              <w:t xml:space="preserve">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заявления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подать только одну заявку в отношении каждого объекта закупки (Лота).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</w:t>
            </w:r>
            <w:r>
              <w:rPr>
                <w:sz w:val="24"/>
                <w:szCs w:val="24"/>
                <w:highlight w:val="white"/>
              </w:rPr>
              <w:t xml:space="preserve">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28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.05.2026, 15:00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03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.06.2026,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Требования к участникам предварительного отбора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Участником предварительного отбора может быть </w:t>
            </w:r>
            <w:r>
              <w:rPr>
                <w:sz w:val="24"/>
                <w:szCs w:val="24"/>
                <w:highlight w:val="white"/>
              </w:rPr>
              <w:t xml:space="preserve">юридическое лицо, выразившее готовность оказать услугу, при этом подтвердившее соответствие к требованиям, предъявляемым к Исполнителю для оказания данной услуги.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04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у участника пред</w:t>
            </w:r>
            <w:r>
              <w:rPr>
                <w:sz w:val="24"/>
                <w:szCs w:val="24"/>
                <w:highlight w:val="white"/>
              </w:rPr>
              <w:t xml:space="preserve">варительного отбора в выписке из Единого государственного реестра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5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предоставлении в составе заявки на участие в предварительном отборе информации о привлечении третьих ли</w:t>
            </w:r>
            <w:r>
              <w:rPr>
                <w:sz w:val="24"/>
                <w:szCs w:val="24"/>
                <w:highlight w:val="white"/>
              </w:rPr>
              <w:t xml:space="preserve">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Borders>
              <w:bottom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на момент проведения предварительного отбора и подведения его итогов претензион</w:t>
            </w:r>
            <w:r>
              <w:rPr>
                <w:sz w:val="24"/>
                <w:szCs w:val="24"/>
                <w:highlight w:val="white"/>
              </w:rPr>
              <w:t xml:space="preserve">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3"/>
        </w:trPr>
        <w:tc>
          <w:tcPr>
            <w:tcBorders>
              <w:top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06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626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</w:t>
            </w:r>
            <w:r>
              <w:rPr>
                <w:sz w:val="24"/>
                <w:szCs w:val="24"/>
                <w:highlight w:val="white"/>
              </w:rPr>
              <w:t xml:space="preserve">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проти</w:t>
            </w:r>
            <w:r>
              <w:rPr>
                <w:sz w:val="24"/>
                <w:szCs w:val="24"/>
                <w:highlight w:val="white"/>
              </w:rPr>
              <w:t xml:space="preserve">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</w:t>
            </w:r>
            <w:r>
              <w:rPr>
                <w:sz w:val="24"/>
                <w:szCs w:val="24"/>
                <w:highlight w:val="white"/>
              </w:rPr>
              <w:t xml:space="preserve">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</w:t>
            </w:r>
            <w:r>
              <w:rPr>
                <w:sz w:val="24"/>
                <w:szCs w:val="24"/>
                <w:highlight w:val="white"/>
              </w:rPr>
              <w:t xml:space="preserve">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</w:t>
            </w:r>
            <w:r>
              <w:rPr>
                <w:sz w:val="24"/>
                <w:szCs w:val="24"/>
                <w:highlight w:val="white"/>
              </w:rPr>
              <w:t xml:space="preserve">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</w:t>
            </w:r>
            <w:r>
              <w:rPr>
                <w:sz w:val="24"/>
                <w:szCs w:val="24"/>
                <w:highlight w:val="white"/>
              </w:rPr>
              <w:t xml:space="preserve">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Под выгодоприобретателями понимаются физически</w:t>
            </w:r>
            <w:r>
              <w:rPr>
                <w:sz w:val="24"/>
                <w:szCs w:val="24"/>
                <w:highlight w:val="white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04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</w:t>
            </w:r>
            <w:r>
              <w:rPr>
                <w:sz w:val="24"/>
                <w:szCs w:val="24"/>
                <w:highlight w:val="white"/>
              </w:rPr>
              <w:t xml:space="preserve">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</w:t>
            </w:r>
            <w:r>
              <w:rPr>
                <w:sz w:val="24"/>
                <w:szCs w:val="24"/>
                <w:highlight w:val="white"/>
              </w:rPr>
              <w:t xml:space="preserve">товаров, работ, услуг для обеспечения государственных и муниципальных нужд».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34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обязуется не использовать получ</w:t>
            </w:r>
            <w:r>
              <w:rPr>
                <w:sz w:val="24"/>
                <w:szCs w:val="24"/>
                <w:highlight w:val="white"/>
              </w:rPr>
      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юридическим лицом, в том числе м</w:t>
            </w:r>
            <w:r>
              <w:rPr>
                <w:sz w:val="24"/>
                <w:szCs w:val="24"/>
                <w:highlight w:val="white"/>
              </w:rPr>
      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      </w:r>
            <w:r>
              <w:rPr>
                <w:sz w:val="24"/>
                <w:szCs w:val="24"/>
                <w:highlight w:val="white"/>
              </w:rPr>
      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      </w:r>
            <w:r>
              <w:rPr>
                <w:sz w:val="24"/>
                <w:szCs w:val="24"/>
                <w:highlight w:val="white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sz w:val="24"/>
                <w:szCs w:val="24"/>
                <w:highlight w:val="white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19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</w:t>
            </w:r>
            <w:r>
              <w:rPr>
                <w:sz w:val="24"/>
                <w:szCs w:val="24"/>
                <w:highlight w:val="white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агентом в соответствии с Федеральным законом от 14.07.2022 </w:t>
            </w:r>
            <w:r>
              <w:rPr>
                <w:sz w:val="24"/>
                <w:szCs w:val="24"/>
                <w:highlight w:val="white"/>
              </w:rPr>
              <w:t xml:space="preserve">№ </w:t>
            </w:r>
            <w:r>
              <w:rPr>
                <w:sz w:val="24"/>
                <w:szCs w:val="24"/>
                <w:highlight w:val="white"/>
              </w:rPr>
              <w:t xml:space="preserve">255-ФЗ «О контроле за деятельностью лиц, находящихся под иностранным влиянием».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      </w:r>
            <w:r>
              <w:rPr>
                <w:sz w:val="24"/>
                <w:szCs w:val="24"/>
                <w:highlight w:val="white"/>
              </w:rPr>
      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реестре дисквалифицированных лиц отсутствуют сведения о дисквалифицированном руководителе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Место, дата, время проведения предварительного отбора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Место</w:t>
            </w:r>
            <w:r>
              <w:rPr>
                <w:bCs/>
                <w:sz w:val="24"/>
                <w:szCs w:val="24"/>
                <w:highlight w:val="white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Дата, время проведения предварительного отбора: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Критерии оценки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contextualSpacing w:val="0"/>
              <w:ind w:left="0"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Критерии: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226" w:leader="none"/>
                <w:tab w:val="left" w:pos="37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Оценки: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0 % до 9,99%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10 % до 19,99 % – 1 балл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20 % до 29,99 % – </w:t>
            </w:r>
            <w:r>
              <w:rPr>
                <w:sz w:val="24"/>
                <w:szCs w:val="24"/>
                <w:highlight w:val="white"/>
              </w:rPr>
              <w:br/>
              <w:t xml:space="preserve">2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30 % до 39,99 % – </w:t>
            </w:r>
            <w:r>
              <w:rPr>
                <w:sz w:val="24"/>
                <w:szCs w:val="24"/>
                <w:highlight w:val="white"/>
              </w:rPr>
              <w:br/>
              <w:t xml:space="preserve">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40 % до 49,99 % – </w:t>
            </w:r>
            <w:r>
              <w:rPr>
                <w:sz w:val="24"/>
                <w:szCs w:val="24"/>
                <w:highlight w:val="white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15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до 30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30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6 до 10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11 до 15 оказанных услуг – 6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– соисполнителей: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- 0 соисполнителей – 3 балла;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- 1 соисполнитель – 2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- 2 соисполнителя – 1 балл;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- 3 и более соисполнителей – 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Минимальный балл для включения в реестр исполнителей по итогам предварительного отбора – 8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425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рассмотрения заявок на участие в предварительном отборе и 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формирования </w:t>
            </w:r>
            <w:r>
              <w:rPr>
                <w:b/>
                <w:sz w:val="24"/>
                <w:szCs w:val="24"/>
                <w:highlight w:val="white"/>
              </w:rPr>
              <w:t xml:space="preserve">реестра исполнителей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/>
            <w:bookmarkStart w:id="2" w:name="_Hlk136005700"/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Комиссией по закупкам на основании результатов рассмотрения заявок на участие в предварительном отборе </w:t>
            </w:r>
            <w:r>
              <w:rPr>
                <w:sz w:val="24"/>
                <w:szCs w:val="24"/>
                <w:highlight w:val="white"/>
              </w:rPr>
              <w:t xml:space="preserve">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во включении участника предварительного отбора в реестр исполнителей принимается, если: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для проведения предварительного отбора представлены не в полном объеме или предоставлена недостоверная информация;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на участие в предварительном отборе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заявке на участие в предварительном отборе превышена установленная закупочной документацией цена услуги;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подача одним участником предварительного отбора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37" w:hanging="37"/>
              <w:tabs>
                <w:tab w:val="left" w:pos="37" w:leader="none"/>
                <w:tab w:val="left" w:pos="31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вправе принять решение об отстранении участника предварительного отбора от участия в закупке на любом этапе, если имеются сведения: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наличии конфликта интересов;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нарушении участником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 исполнителей включ</w:t>
            </w:r>
            <w:r>
              <w:rPr>
                <w:sz w:val="24"/>
                <w:szCs w:val="24"/>
                <w:highlight w:val="white"/>
              </w:rPr>
              <w:t xml:space="preserve">аются не более 10 участников предварительного 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участник предварительного отбора, подавший заявку ранее.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утверждает реестр исполнителей, в который включаются участники предварительного отбора, в отношении которых принято решение о включении их в реестр 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размещает сформированный реестр исполнителей на сайте </w:t>
            </w:r>
            <w:hyperlink r:id="rId13" w:tooltip="http://www.мойбизнес41.рф" w:history="1">
              <w:r>
                <w:rPr>
                  <w:sz w:val="24"/>
                  <w:szCs w:val="24"/>
                  <w:highlight w:val="white"/>
                </w:rPr>
                <w:t xml:space="preserve">Мойбизнес41.рф</w:t>
              </w:r>
            </w:hyperlink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Реестр исполнителей действует в рамках текущего календарного года. Из числа Исполнителей, состоящих в указанном реестре, Получатель услуги выбирает конкретного Исполнителя для оказания ему услуги.</w:t>
            </w:r>
            <w:bookmarkEnd w:id="2"/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3" w:name="_Hlk135299644"/>
            <w:r/>
            <w:bookmarkStart w:id="4" w:name="_Hlk135300278"/>
            <w:r/>
            <w:bookmarkStart w:id="5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879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Заявление на участие в предварительном отборе*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Сведения об участнике предварительного отбора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Фактическое место нахождения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79"/>
        <w:numPr>
          <w:ilvl w:val="0"/>
          <w:numId w:val="5"/>
        </w:numPr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Изучив закупочную документацию о проведении предварительного отбора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879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участника предварительного отбора)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879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сообщает об участии в предварительном отборе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highlight w:val="white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79"/>
        <w:numPr>
          <w:ilvl w:val="0"/>
          <w:numId w:val="5"/>
        </w:numPr>
        <w:ind w:left="0" w:firstLine="0"/>
        <w:shd w:val="clear" w:color="auto" w:fill="ffffff"/>
        <w:tabs>
          <w:tab w:val="left" w:pos="42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Участник предварительного отбора 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84"/>
        <w:ind w:firstLine="567"/>
        <w:jc w:val="both"/>
        <w:spacing w:line="240" w:lineRule="auto"/>
        <w:tabs>
          <w:tab w:val="left" w:pos="851" w:leader="none"/>
        </w:tabs>
        <w:rPr>
          <w:rFonts w:eastAsia="Calibri"/>
          <w:sz w:val="23"/>
          <w:szCs w:val="23"/>
          <w:highlight w:val="white"/>
        </w:rPr>
      </w:pP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</w:p>
    <w:p>
      <w:pPr>
        <w:pStyle w:val="879"/>
        <w:ind w:left="0"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Ценовое предложение на объект закупки на 2026 год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Сведения о соисполнителях (при наличии)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5.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работы с Центрами «Мой бизнес» на территории Российской Федерации (при наличии такого опыта)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Справка о соответствии требованиям, предъявляемым закупочной документацией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Иные документы (при наличии)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/>
            <w:bookmarkStart w:id="6" w:name="_Hlk135300611"/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/>
      <w:bookmarkStart w:id="7" w:name="_Hlk131581893"/>
      <w:r/>
      <w:bookmarkEnd w:id="3"/>
      <w:r>
        <w:rPr>
          <w:sz w:val="18"/>
          <w:szCs w:val="18"/>
          <w:highlight w:val="white"/>
        </w:rPr>
        <w:t xml:space="preserve">* При заполнении заявки уполномоченным (доверенным) лицом участника предварительного отбора, к заявке прилагается доверенность.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>
          <w:trHeight w:val="643"/>
        </w:trPr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8" w:name="_Hlk135235034"/>
            <w:r/>
            <w:bookmarkEnd w:id="7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2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0"/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Согласие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pStyle w:val="910"/>
        <w:spacing w:line="240" w:lineRule="auto"/>
        <w:rPr>
          <w:rFonts w:cs="Times New Roman"/>
          <w:sz w:val="23"/>
          <w:szCs w:val="23"/>
          <w:highlight w:val="white"/>
        </w:rPr>
      </w:pPr>
      <w:r>
        <w:rPr>
          <w:rFonts w:cs="Times New Roman"/>
          <w:sz w:val="23"/>
          <w:szCs w:val="23"/>
          <w:highlight w:val="white"/>
        </w:rPr>
        <w:t xml:space="preserve">на обработку персональных данных</w:t>
      </w:r>
      <w:r>
        <w:rPr>
          <w:rFonts w:cs="Times New Roman"/>
          <w:sz w:val="23"/>
          <w:szCs w:val="23"/>
          <w:highlight w:val="white"/>
        </w:rPr>
      </w:r>
      <w:r>
        <w:rPr>
          <w:rFonts w:cs="Times New Roman"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проживающий(ая) по адресу: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паспорт серии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выдан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выдачи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«____» ____________ _________г.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</w:t>
            </w:r>
            <w:r>
              <w:rPr>
                <w:sz w:val="20"/>
                <w:szCs w:val="20"/>
                <w:highlight w:val="white"/>
              </w:rPr>
              <w:t xml:space="preserve">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г.Петропавловск-Камчатский,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  <w:highlight w:val="white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  <w:highlight w:val="white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  <w:highlight w:val="white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  <w:highlight w:val="white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  <w:highlight w:val="white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  <w:highlight w:val="white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  <w:highlight w:val="white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в сл</w:t>
            </w:r>
            <w:r>
              <w:rPr>
                <w:sz w:val="20"/>
                <w:szCs w:val="20"/>
                <w:highlight w:val="white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rPr>
          <w:sz w:val="18"/>
          <w:szCs w:val="18"/>
          <w:highlight w:val="none"/>
        </w:rPr>
      </w:pPr>
      <w:r>
        <w:rPr>
          <w:b/>
          <w:bCs/>
          <w:sz w:val="20"/>
          <w:szCs w:val="20"/>
          <w:highlight w:val="white"/>
        </w:rPr>
        <w:t xml:space="preserve">* </w:t>
      </w:r>
      <w:r>
        <w:rPr>
          <w:sz w:val="18"/>
          <w:szCs w:val="18"/>
          <w:highlight w:val="whit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  <w:highlight w:val="white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shd w:val="nil" w:color="auto"/>
        <w:rPr>
          <w:sz w:val="18"/>
          <w:szCs w:val="18"/>
          <w:highlight w:val="white"/>
        </w:rPr>
      </w:pPr>
      <w:r>
        <w:rPr>
          <w:sz w:val="18"/>
          <w:szCs w:val="18"/>
          <w:highlight w:val="non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br w:type="page" w:clear="all"/>
            </w: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3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  <w:t xml:space="preserve">Сведения о соисполнителях* </w:t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9" w:name="_Hlk203405105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предварительного отбора: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9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W w:w="10011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Место </w:t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rPr>
          <w:iCs/>
          <w:sz w:val="16"/>
          <w:szCs w:val="16"/>
          <w:highlight w:val="white"/>
        </w:rPr>
      </w:pPr>
      <w:r>
        <w:rPr>
          <w:bCs/>
          <w:iCs/>
          <w:sz w:val="16"/>
          <w:szCs w:val="16"/>
          <w:highlight w:val="white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iCs/>
          <w:sz w:val="16"/>
          <w:szCs w:val="16"/>
          <w:highlight w:val="white"/>
        </w:rPr>
      </w:r>
      <w:r>
        <w:rPr>
          <w:iCs/>
          <w:sz w:val="16"/>
          <w:szCs w:val="16"/>
          <w:highlight w:val="white"/>
        </w:rPr>
      </w:r>
    </w:p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br w:type="page" w:clear="all"/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ind w:firstLine="0"/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4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оказания услуг, аналогичных объекту закупки*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0" w:name="_Hlk203404990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10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1" w:name="_Hlk203404997"/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bookmarkEnd w:id="11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5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работы с Центрами «Мой бизнес» на территории Российской Федерации*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tbl>
      <w:tblPr>
        <w:tblStyle w:val="88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2" w:name="_Hlk203405053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12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pStyle w:val="879"/>
        <w:ind w:left="851"/>
        <w:tabs>
          <w:tab w:val="left" w:pos="1134" w:leader="none"/>
        </w:tabs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142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rPr>
          <w:sz w:val="22"/>
          <w:szCs w:val="18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r/>
      <w:bookmarkEnd w:id="6"/>
      <w:r/>
      <w:bookmarkEnd w:id="8"/>
      <w:r/>
      <w:bookmarkEnd w:id="5"/>
      <w:r>
        <w:rPr>
          <w:sz w:val="22"/>
          <w:szCs w:val="18"/>
          <w:highlight w:val="white"/>
        </w:rPr>
      </w:r>
      <w:r>
        <w:rPr>
          <w:sz w:val="22"/>
          <w:szCs w:val="1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879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Настоящим подтверждаем соответствие ________________________________следующим требованиям по состоянию на ______: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юридическим лицом, в том числе 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3" w:name="_Hlk157777207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</w:t>
      </w:r>
      <w:bookmarkEnd w:id="13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4" w:name="sub_1009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5" w:name="_Hlk157777247"/>
      <w:r/>
      <w:bookmarkStart w:id="16" w:name="sub_1011"/>
      <w:r/>
      <w:bookmarkEnd w:id="14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участника предварительного отбора.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между участником предварительного отбора и автономной некоммерческой организацией «Камчатский центр поддержки предпринимательства» отсутствует конфликт интересов;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отказывать в предоставлении услуги получателю, если они состоят в одной группе лиц, определенных в соответствии с Федеральным законом от 26 июля 2006 г.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включен 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а также в реестр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не использовать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6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tabs>
          <w:tab w:val="left" w:pos="127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2 Char"/>
    <w:basedOn w:val="711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686">
    <w:name w:val="Heading 3 Char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7">
    <w:name w:val="Heading 4 Char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8">
    <w:name w:val="Heading 5 Char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>
    <w:name w:val="Heading 6 Char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7 Char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8 Char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>
    <w:name w:val="Heading 9 Char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Title Char"/>
    <w:basedOn w:val="711"/>
    <w:link w:val="724"/>
    <w:uiPriority w:val="10"/>
    <w:rPr>
      <w:sz w:val="48"/>
      <w:szCs w:val="48"/>
    </w:rPr>
  </w:style>
  <w:style w:type="character" w:styleId="694">
    <w:name w:val="Subtitle Char"/>
    <w:basedOn w:val="711"/>
    <w:link w:val="726"/>
    <w:uiPriority w:val="11"/>
    <w:rPr>
      <w:sz w:val="24"/>
      <w:szCs w:val="24"/>
    </w:rPr>
  </w:style>
  <w:style w:type="character" w:styleId="695">
    <w:name w:val="Quote Char"/>
    <w:link w:val="728"/>
    <w:uiPriority w:val="29"/>
    <w:rPr>
      <w:i/>
    </w:rPr>
  </w:style>
  <w:style w:type="character" w:styleId="696">
    <w:name w:val="Intense Quote Char"/>
    <w:link w:val="730"/>
    <w:uiPriority w:val="30"/>
    <w:rPr>
      <w:i/>
    </w:rPr>
  </w:style>
  <w:style w:type="character" w:styleId="697">
    <w:name w:val="Header Char"/>
    <w:basedOn w:val="711"/>
    <w:link w:val="732"/>
    <w:uiPriority w:val="99"/>
  </w:style>
  <w:style w:type="character" w:styleId="698">
    <w:name w:val="Footer Char"/>
    <w:basedOn w:val="711"/>
    <w:link w:val="734"/>
    <w:uiPriority w:val="99"/>
  </w:style>
  <w:style w:type="character" w:styleId="699">
    <w:name w:val="Caption Char"/>
    <w:basedOn w:val="711"/>
    <w:link w:val="736"/>
    <w:uiPriority w:val="35"/>
    <w:rPr>
      <w:b/>
      <w:bCs/>
      <w:color w:val="4f81bd" w:themeColor="accent1"/>
      <w:sz w:val="18"/>
      <w:szCs w:val="18"/>
    </w:rPr>
  </w:style>
  <w:style w:type="character" w:styleId="700">
    <w:name w:val="Endnote Text Char"/>
    <w:link w:val="864"/>
    <w:uiPriority w:val="99"/>
    <w:rPr>
      <w:sz w:val="20"/>
    </w:rPr>
  </w:style>
  <w:style w:type="paragraph" w:styleId="701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02">
    <w:name w:val="Heading 1"/>
    <w:basedOn w:val="701"/>
    <w:next w:val="701"/>
    <w:link w:val="894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701"/>
    <w:next w:val="701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11"/>
    <w:link w:val="724"/>
    <w:uiPriority w:val="10"/>
    <w:rPr>
      <w:sz w:val="48"/>
      <w:szCs w:val="48"/>
    </w:rPr>
  </w:style>
  <w:style w:type="paragraph" w:styleId="726">
    <w:name w:val="Subtitle"/>
    <w:basedOn w:val="701"/>
    <w:next w:val="701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 w:customStyle="1">
    <w:name w:val="Подзаголовок Знак"/>
    <w:basedOn w:val="711"/>
    <w:link w:val="726"/>
    <w:uiPriority w:val="11"/>
    <w:rPr>
      <w:sz w:val="24"/>
      <w:szCs w:val="24"/>
    </w:rPr>
  </w:style>
  <w:style w:type="paragraph" w:styleId="728">
    <w:name w:val="Quote"/>
    <w:basedOn w:val="701"/>
    <w:next w:val="701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1"/>
    <w:next w:val="701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1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1"/>
    <w:link w:val="732"/>
    <w:uiPriority w:val="99"/>
  </w:style>
  <w:style w:type="paragraph" w:styleId="734">
    <w:name w:val="Footer"/>
    <w:basedOn w:val="701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Нижний колонтитул Знак"/>
    <w:basedOn w:val="711"/>
    <w:link w:val="734"/>
    <w:uiPriority w:val="99"/>
  </w:style>
  <w:style w:type="paragraph" w:styleId="736">
    <w:name w:val="Caption"/>
    <w:basedOn w:val="701"/>
    <w:next w:val="701"/>
    <w:link w:val="73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7" w:customStyle="1">
    <w:name w:val="Название объекта Знак"/>
    <w:basedOn w:val="711"/>
    <w:link w:val="736"/>
    <w:uiPriority w:val="35"/>
    <w:rPr>
      <w:b/>
      <w:bCs/>
      <w:color w:val="4472c4" w:themeColor="accent1"/>
      <w:sz w:val="18"/>
      <w:szCs w:val="18"/>
    </w:rPr>
  </w:style>
  <w:style w:type="table" w:styleId="738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9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0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7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8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9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0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1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1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2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3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4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5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0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2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4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4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8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1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5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8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9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0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1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2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3" w:customStyle="1">
    <w:name w:val="Footnote Text Char"/>
    <w:uiPriority w:val="99"/>
    <w:rPr>
      <w:sz w:val="18"/>
    </w:rPr>
  </w:style>
  <w:style w:type="paragraph" w:styleId="864">
    <w:name w:val="endnote text"/>
    <w:basedOn w:val="701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11"/>
    <w:uiPriority w:val="99"/>
    <w:semiHidden/>
    <w:unhideWhenUsed/>
    <w:rPr>
      <w:vertAlign w:val="superscript"/>
    </w:rPr>
  </w:style>
  <w:style w:type="paragraph" w:styleId="867">
    <w:name w:val="toc 1"/>
    <w:basedOn w:val="701"/>
    <w:next w:val="701"/>
    <w:uiPriority w:val="39"/>
    <w:unhideWhenUsed/>
    <w:pPr>
      <w:ind w:firstLine="0"/>
      <w:spacing w:after="57"/>
    </w:pPr>
  </w:style>
  <w:style w:type="paragraph" w:styleId="868">
    <w:name w:val="toc 2"/>
    <w:basedOn w:val="701"/>
    <w:next w:val="701"/>
    <w:uiPriority w:val="39"/>
    <w:unhideWhenUsed/>
    <w:pPr>
      <w:ind w:left="283" w:firstLine="0"/>
      <w:spacing w:after="57"/>
    </w:pPr>
  </w:style>
  <w:style w:type="paragraph" w:styleId="869">
    <w:name w:val="toc 3"/>
    <w:basedOn w:val="701"/>
    <w:next w:val="701"/>
    <w:uiPriority w:val="39"/>
    <w:unhideWhenUsed/>
    <w:pPr>
      <w:ind w:left="567" w:firstLine="0"/>
      <w:spacing w:after="57"/>
    </w:pPr>
  </w:style>
  <w:style w:type="paragraph" w:styleId="870">
    <w:name w:val="toc 4"/>
    <w:basedOn w:val="701"/>
    <w:next w:val="701"/>
    <w:uiPriority w:val="39"/>
    <w:unhideWhenUsed/>
    <w:pPr>
      <w:ind w:left="850" w:firstLine="0"/>
      <w:spacing w:after="57"/>
    </w:pPr>
  </w:style>
  <w:style w:type="paragraph" w:styleId="871">
    <w:name w:val="toc 5"/>
    <w:basedOn w:val="701"/>
    <w:next w:val="701"/>
    <w:uiPriority w:val="39"/>
    <w:unhideWhenUsed/>
    <w:pPr>
      <w:ind w:left="1134" w:firstLine="0"/>
      <w:spacing w:after="57"/>
    </w:pPr>
  </w:style>
  <w:style w:type="paragraph" w:styleId="872">
    <w:name w:val="toc 6"/>
    <w:basedOn w:val="701"/>
    <w:next w:val="701"/>
    <w:uiPriority w:val="39"/>
    <w:unhideWhenUsed/>
    <w:pPr>
      <w:ind w:left="1417" w:firstLine="0"/>
      <w:spacing w:after="57"/>
    </w:pPr>
  </w:style>
  <w:style w:type="paragraph" w:styleId="873">
    <w:name w:val="toc 7"/>
    <w:basedOn w:val="701"/>
    <w:next w:val="701"/>
    <w:uiPriority w:val="39"/>
    <w:unhideWhenUsed/>
    <w:pPr>
      <w:ind w:left="1701" w:firstLine="0"/>
      <w:spacing w:after="57"/>
    </w:pPr>
  </w:style>
  <w:style w:type="paragraph" w:styleId="874">
    <w:name w:val="toc 8"/>
    <w:basedOn w:val="701"/>
    <w:next w:val="701"/>
    <w:uiPriority w:val="39"/>
    <w:unhideWhenUsed/>
    <w:pPr>
      <w:ind w:left="1984" w:firstLine="0"/>
      <w:spacing w:after="57"/>
    </w:pPr>
  </w:style>
  <w:style w:type="paragraph" w:styleId="875">
    <w:name w:val="toc 9"/>
    <w:basedOn w:val="701"/>
    <w:next w:val="701"/>
    <w:uiPriority w:val="39"/>
    <w:unhideWhenUsed/>
    <w:pPr>
      <w:ind w:left="2268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701"/>
    <w:next w:val="701"/>
    <w:uiPriority w:val="99"/>
    <w:unhideWhenUsed/>
  </w:style>
  <w:style w:type="character" w:styleId="878">
    <w:name w:val="Hyperlink"/>
    <w:uiPriority w:val="99"/>
    <w:unhideWhenUsed/>
    <w:rPr>
      <w:color w:val="0000ff"/>
      <w:u w:val="single"/>
    </w:rPr>
  </w:style>
  <w:style w:type="paragraph" w:styleId="879">
    <w:name w:val="List Paragraph"/>
    <w:basedOn w:val="701"/>
    <w:link w:val="886"/>
    <w:uiPriority w:val="34"/>
    <w:qFormat/>
    <w:pPr>
      <w:contextualSpacing/>
      <w:ind w:left="720"/>
    </w:pPr>
  </w:style>
  <w:style w:type="character" w:styleId="880" w:customStyle="1">
    <w:name w:val="Другое_"/>
    <w:basedOn w:val="711"/>
    <w:link w:val="881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1" w:customStyle="1">
    <w:name w:val="Другое"/>
    <w:basedOn w:val="701"/>
    <w:link w:val="880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882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3" w:customStyle="1">
    <w:name w:val="Основной текст_"/>
    <w:basedOn w:val="711"/>
    <w:link w:val="88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4" w:customStyle="1">
    <w:name w:val="Основной текст1"/>
    <w:basedOn w:val="701"/>
    <w:link w:val="883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885">
    <w:name w:val="Normal (Web)"/>
    <w:basedOn w:val="70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886" w:customStyle="1">
    <w:name w:val="Абзац списка Знак"/>
    <w:link w:val="879"/>
    <w:uiPriority w:val="34"/>
    <w:rPr>
      <w:rFonts w:ascii="Times New Roman" w:hAnsi="Times New Roman" w:eastAsia="Calibri" w:cs="Times New Roman"/>
      <w:sz w:val="28"/>
    </w:rPr>
  </w:style>
  <w:style w:type="paragraph" w:styleId="887">
    <w:name w:val="Body Text"/>
    <w:basedOn w:val="701"/>
    <w:link w:val="888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888" w:customStyle="1">
    <w:name w:val="Основной текст Знак"/>
    <w:basedOn w:val="711"/>
    <w:link w:val="887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889" w:customStyle="1">
    <w:name w:val="Заголовок №3_"/>
    <w:basedOn w:val="711"/>
    <w:link w:val="89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890" w:customStyle="1">
    <w:name w:val="Заголовок №3"/>
    <w:basedOn w:val="701"/>
    <w:link w:val="889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891" w:customStyle="1">
    <w:name w:val="Неразрешенное упоминание1"/>
    <w:basedOn w:val="711"/>
    <w:uiPriority w:val="99"/>
    <w:semiHidden/>
    <w:unhideWhenUsed/>
    <w:rPr>
      <w:color w:val="605e5c"/>
      <w:shd w:val="clear" w:color="auto" w:fill="e1dfdd"/>
    </w:rPr>
  </w:style>
  <w:style w:type="character" w:styleId="892" w:customStyle="1">
    <w:name w:val="Неразрешенное упоминание2"/>
    <w:basedOn w:val="711"/>
    <w:uiPriority w:val="99"/>
    <w:semiHidden/>
    <w:unhideWhenUsed/>
    <w:rPr>
      <w:color w:val="605e5c"/>
      <w:shd w:val="clear" w:color="auto" w:fill="e1dfdd"/>
    </w:rPr>
  </w:style>
  <w:style w:type="character" w:styleId="893" w:customStyle="1">
    <w:name w:val="Неразрешенное упоминание3"/>
    <w:basedOn w:val="711"/>
    <w:uiPriority w:val="99"/>
    <w:semiHidden/>
    <w:unhideWhenUsed/>
    <w:rPr>
      <w:color w:val="605e5c"/>
      <w:shd w:val="clear" w:color="auto" w:fill="e1dfdd"/>
    </w:rPr>
  </w:style>
  <w:style w:type="character" w:styleId="894" w:customStyle="1">
    <w:name w:val="Заголовок 1 Знак"/>
    <w:basedOn w:val="711"/>
    <w:link w:val="702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895" w:customStyle="1">
    <w:name w:val="Ответы Знак"/>
    <w:link w:val="896"/>
    <w:rPr>
      <w:rFonts w:ascii="Arial" w:hAnsi="Arial"/>
      <w:sz w:val="18"/>
    </w:rPr>
  </w:style>
  <w:style w:type="paragraph" w:styleId="896" w:customStyle="1">
    <w:name w:val="Ответы"/>
    <w:basedOn w:val="701"/>
    <w:link w:val="895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897" w:customStyle="1">
    <w:name w:val="timesnewroman"/>
    <w:basedOn w:val="887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98">
    <w:name w:val="footnote text"/>
    <w:basedOn w:val="701"/>
    <w:link w:val="899"/>
    <w:uiPriority w:val="99"/>
    <w:semiHidden/>
    <w:unhideWhenUsed/>
    <w:rPr>
      <w:sz w:val="20"/>
      <w:szCs w:val="20"/>
    </w:rPr>
  </w:style>
  <w:style w:type="character" w:styleId="899" w:customStyle="1">
    <w:name w:val="Текст сноски Знак"/>
    <w:basedOn w:val="711"/>
    <w:link w:val="898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00">
    <w:name w:val="footnote reference"/>
    <w:basedOn w:val="711"/>
    <w:uiPriority w:val="99"/>
    <w:semiHidden/>
    <w:unhideWhenUsed/>
    <w:rPr>
      <w:vertAlign w:val="superscript"/>
    </w:rPr>
  </w:style>
  <w:style w:type="character" w:styleId="901">
    <w:name w:val="annotation reference"/>
    <w:basedOn w:val="711"/>
    <w:uiPriority w:val="99"/>
    <w:semiHidden/>
    <w:unhideWhenUsed/>
    <w:rPr>
      <w:sz w:val="16"/>
      <w:szCs w:val="16"/>
    </w:rPr>
  </w:style>
  <w:style w:type="paragraph" w:styleId="902">
    <w:name w:val="annotation text"/>
    <w:basedOn w:val="701"/>
    <w:link w:val="903"/>
    <w:uiPriority w:val="99"/>
    <w:unhideWhenUsed/>
    <w:rPr>
      <w:sz w:val="20"/>
      <w:szCs w:val="20"/>
    </w:rPr>
  </w:style>
  <w:style w:type="character" w:styleId="903" w:customStyle="1">
    <w:name w:val="Текст примечания Знак"/>
    <w:basedOn w:val="711"/>
    <w:link w:val="902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904">
    <w:name w:val="Balloon Text"/>
    <w:basedOn w:val="701"/>
    <w:link w:val="9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711"/>
    <w:link w:val="904"/>
    <w:uiPriority w:val="99"/>
    <w:semiHidden/>
    <w:rPr>
      <w:rFonts w:ascii="Segoe UI" w:hAnsi="Segoe UI" w:eastAsia="Calibri" w:cs="Segoe UI"/>
      <w:sz w:val="18"/>
      <w:szCs w:val="18"/>
    </w:rPr>
  </w:style>
  <w:style w:type="paragraph" w:styleId="906">
    <w:name w:val="annotation subject"/>
    <w:basedOn w:val="902"/>
    <w:next w:val="902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3"/>
    <w:link w:val="906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908" w:customStyle="1">
    <w:name w:val="Основной шрифт абзаца1"/>
  </w:style>
  <w:style w:type="character" w:styleId="909">
    <w:name w:val="Unresolved Mention"/>
    <w:basedOn w:val="711"/>
    <w:uiPriority w:val="99"/>
    <w:semiHidden/>
    <w:unhideWhenUsed/>
    <w:rPr>
      <w:color w:val="605e5c"/>
      <w:shd w:val="clear" w:color="auto" w:fill="e1dfdd"/>
    </w:rPr>
  </w:style>
  <w:style w:type="paragraph" w:styleId="910" w:customStyle="1">
    <w:name w:val="Заголовки приложений"/>
    <w:basedOn w:val="701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91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mailto:ur@mb41.ru" TargetMode="External"/><Relationship Id="rId13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202</cp:revision>
  <dcterms:created xsi:type="dcterms:W3CDTF">2024-02-19T01:58:00Z</dcterms:created>
  <dcterms:modified xsi:type="dcterms:W3CDTF">2026-05-28T02:52:38Z</dcterms:modified>
</cp:coreProperties>
</file>