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/>
            <w:bookmarkStart w:id="0" w:name="_Hlk135317935"/>
            <w:r/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«22» мая 2026 года № 6  </w:t>
            </w:r>
            <w:bookmarkEnd w:id="0"/>
            <w:r/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  <w:t xml:space="preserve">Закупочная документация о проведении предварительного отбора</w:t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  <w:t xml:space="preserve"> на оказание услуг «Р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егистрация товарного знака»</w:t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sz w:val="24"/>
          <w:szCs w:val="24"/>
          <w:highlight w:val="white"/>
        </w:rPr>
      </w:pPr>
      <w:r/>
      <w:bookmarkStart w:id="1" w:name="_Hlk135233831"/>
      <w:r>
        <w:rPr>
          <w:rFonts w:eastAsia="Times New Roman"/>
          <w:sz w:val="24"/>
          <w:szCs w:val="24"/>
          <w:highlight w:val="white"/>
          <w:lang w:eastAsia="ru-RU"/>
        </w:rPr>
        <w:t xml:space="preserve">г.  Петропавловск-Камчатский</w:t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>
        <w:tblPrEx/>
        <w:trPr>
          <w:trHeight w:val="355"/>
        </w:trPr>
        <w:tc>
          <w:tcPr>
            <w:tcW w:w="50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«03» июня 2026 года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028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20 </w:t>
            </w:r>
            <w:bookmarkEnd w:id="1"/>
            <w:r/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tbl>
      <w:tblPr>
        <w:tblStyle w:val="881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0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0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0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0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0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/>
            <w:hyperlink r:id="rId10" w:tooltip="mailto:info@mb41.ru" w:history="1">
              <w:r>
                <w:rPr>
                  <w:bCs/>
                  <w:sz w:val="24"/>
                  <w:szCs w:val="24"/>
                  <w:highlight w:val="white"/>
                </w:rPr>
                <w:t xml:space="preserve">info@mb41.ru</w:t>
              </w:r>
            </w:hyperlink>
            <w:r/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1"/>
                <w:numId w:val="6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0"/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) 215-250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Способ закупки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0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Предварительный отбор</w:t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Объект закупки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Оказание услуги по регистрации товарного знака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Н</w:t>
            </w:r>
            <w:r>
              <w:rPr>
                <w:b/>
                <w:sz w:val="24"/>
                <w:szCs w:val="24"/>
                <w:highlight w:val="white"/>
              </w:rPr>
              <w:t xml:space="preserve">аименование услуги, получатели, состав услуги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rPr>
                <w:bCs/>
                <w:sz w:val="23"/>
                <w:szCs w:val="23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Наименование услуги: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«Регистрация товарного знака</w:t>
            </w:r>
            <w:r>
              <w:rPr>
                <w:bCs/>
                <w:sz w:val="23"/>
                <w:szCs w:val="23"/>
                <w:highlight w:val="white"/>
              </w:rPr>
              <w:t xml:space="preserve">» </w:t>
            </w:r>
            <w:r>
              <w:rPr>
                <w:sz w:val="24"/>
                <w:szCs w:val="24"/>
                <w:highlight w:val="white"/>
              </w:rPr>
              <w:t xml:space="preserve">(далее – услуга</w:t>
            </w:r>
            <w:r>
              <w:rPr>
                <w:sz w:val="24"/>
                <w:szCs w:val="24"/>
                <w:highlight w:val="white"/>
              </w:rPr>
              <w:t xml:space="preserve">).</w:t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pStyle w:val="878"/>
              <w:contextualSpacing w:val="0"/>
              <w:ind w:left="28" w:firstLine="0"/>
              <w:tabs>
                <w:tab w:val="left" w:pos="314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Получатели: субъекты малого и среднего предпринимательства Камчатского края (далее – Получатель).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Состав услуги: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3"/>
                <w:numId w:val="7"/>
              </w:numPr>
              <w:ind w:left="37" w:firstLine="0"/>
              <w:tabs>
                <w:tab w:val="left" w:pos="32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</w:t>
            </w:r>
            <w:r>
              <w:rPr>
                <w:sz w:val="24"/>
                <w:szCs w:val="24"/>
                <w:highlight w:val="white"/>
              </w:rPr>
              <w:t xml:space="preserve">одготовка и подача заявки на регистрацию товарного знака в </w:t>
            </w:r>
            <w:r>
              <w:rPr>
                <w:bCs/>
                <w:sz w:val="24"/>
                <w:szCs w:val="24"/>
                <w:highlight w:val="white"/>
              </w:rPr>
              <w:t xml:space="preserve">Федеральную службу по интеллектуальной собственности (Роспатент)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3"/>
                <w:numId w:val="7"/>
              </w:numPr>
              <w:ind w:left="37" w:firstLine="0"/>
              <w:tabs>
                <w:tab w:val="left" w:pos="32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Регистрация товарного знака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должен быть направлен</w:t>
            </w:r>
            <w:r>
              <w:rPr>
                <w:rFonts w:eastAsia="Times New Roman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sz w:val="24"/>
                <w:szCs w:val="24"/>
              </w:rPr>
              <w:t xml:space="preserve"> на содействие в позиционировании и продвижении (товаров/работ/услуг).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Основные условия оказания услуги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78"/>
              <w:numPr>
                <w:ilvl w:val="0"/>
                <w:numId w:val="12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2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Услуга оказывается на условиях софинансирования со стороны Получателя. Размер софинансирования устанавливается договором.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2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37" w:firstLine="0"/>
              <w:tabs>
                <w:tab w:val="left" w:pos="317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- оказывать услугу в 2026 году в соответствии с ценовым предложением, представленном в составе заявки на участие в предварительном отборе;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оказывать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в сроки и на условиях, установленных договором, предоставить Заказчику отчет об оказании услуги, акт оказанных услуг и счет на оплату. </w:t>
            </w:r>
            <w:r>
              <w:rPr>
                <w:sz w:val="24"/>
                <w:szCs w:val="24"/>
                <w:highlight w:val="white"/>
              </w:rPr>
              <w:t xml:space="preserve">Отчет и прилагаемые документы должны быть читаемы, не содержать рукописных добавлений, исправлений, содержать четкие графические материалы;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</w:t>
            </w:r>
            <w:r>
              <w:rPr>
                <w:bCs/>
                <w:sz w:val="24"/>
                <w:szCs w:val="24"/>
                <w:highlight w:val="white"/>
              </w:rPr>
              <w:t xml:space="preserve">услуги требованиям договора в сроки, установленные в таком запросе;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при предоставлении в составе заявки на участие в предварительном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  <w:highlight w:val="white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  <w:highlight w:val="white"/>
              </w:rPr>
              <w:t xml:space="preserve">третьих лиц к оказанию услуги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;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  <w:t xml:space="preserve">- п</w:t>
            </w:r>
            <w:r>
              <w:rPr>
                <w:bCs/>
                <w:sz w:val="24"/>
                <w:szCs w:val="24"/>
                <w:highlight w:val="white"/>
              </w:rPr>
              <w:t xml:space="preserve"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</w:t>
            </w:r>
            <w:r>
              <w:rPr>
                <w:bCs/>
                <w:sz w:val="24"/>
                <w:szCs w:val="24"/>
                <w:highlight w:val="white"/>
              </w:rPr>
              <w:t xml:space="preserve">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Заказчиком;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в случае просрочки Исполнителем исполнения обязательств, Заказчик вправе потребовать уплату неустойки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дать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отказать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37" w:firstLine="0"/>
              <w:tabs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не использовать полученные средства для приобретения иностранной валюты, за исключением операций, осуществляемых</w:t>
            </w:r>
            <w:r>
              <w:rPr>
                <w:sz w:val="24"/>
                <w:szCs w:val="24"/>
                <w:highlight w:val="white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Порядок оказания услуги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78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Исполнитель проводит: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sz w:val="24"/>
                <w:szCs w:val="24"/>
                <w:highlight w:val="white"/>
              </w:rPr>
              <w:t xml:space="preserve">предварительный поиск на предмет </w:t>
            </w:r>
            <w:r>
              <w:rPr>
                <w:sz w:val="24"/>
                <w:szCs w:val="24"/>
                <w:highlight w:val="white"/>
              </w:rPr>
              <w:t xml:space="preserve">охраноспособности</w:t>
            </w:r>
            <w:r>
              <w:rPr>
                <w:sz w:val="24"/>
                <w:szCs w:val="24"/>
                <w:highlight w:val="white"/>
              </w:rPr>
              <w:t xml:space="preserve"> обозначения в качестве товарного знака в Российской Федерации на основании товарного знака, предоставленного Получателем;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83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sz w:val="24"/>
                <w:szCs w:val="24"/>
                <w:highlight w:val="white"/>
              </w:rPr>
              <w:t xml:space="preserve">поиск тождественных и сходных до степени обозначений по базам данных товарных знаков в отношении товаров/услуг Международ</w:t>
            </w:r>
            <w:r>
              <w:rPr>
                <w:sz w:val="24"/>
                <w:szCs w:val="24"/>
                <w:highlight w:val="white"/>
              </w:rPr>
              <w:t xml:space="preserve">ной классификации товаров и услуг (МКТУ), включающих в себя информацию о зарегистрированных товарных знаках, текущих заявках на регистрацию товарных знаков с датой приоритета, а также международных товарных знаков с правовой охраной в Российской Федерации.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По результатам </w:t>
            </w:r>
            <w:r>
              <w:rPr>
                <w:sz w:val="24"/>
                <w:szCs w:val="24"/>
                <w:highlight w:val="white"/>
              </w:rPr>
              <w:t xml:space="preserve">предварительн</w:t>
            </w:r>
            <w:r>
              <w:rPr>
                <w:sz w:val="24"/>
                <w:szCs w:val="24"/>
                <w:highlight w:val="white"/>
              </w:rPr>
              <w:t xml:space="preserve">ого</w:t>
            </w:r>
            <w:r>
              <w:rPr>
                <w:sz w:val="24"/>
                <w:szCs w:val="24"/>
                <w:highlight w:val="white"/>
              </w:rPr>
              <w:t xml:space="preserve"> поиск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 на предмет </w:t>
            </w:r>
            <w:r>
              <w:rPr>
                <w:sz w:val="24"/>
                <w:szCs w:val="24"/>
                <w:highlight w:val="white"/>
              </w:rPr>
              <w:t xml:space="preserve">охраноспособности</w:t>
            </w:r>
            <w:r>
              <w:rPr>
                <w:sz w:val="24"/>
                <w:szCs w:val="24"/>
                <w:highlight w:val="white"/>
              </w:rPr>
              <w:t xml:space="preserve"> обозначения в качестве товарного знака в Российской Федерации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Исполнитель предоставляет Заказчику и Получателю </w:t>
            </w:r>
            <w:r>
              <w:rPr>
                <w:sz w:val="24"/>
                <w:szCs w:val="24"/>
                <w:highlight w:val="white"/>
              </w:rPr>
              <w:t xml:space="preserve">отчет, который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должен содержать: отчет о результатах проверки соответствия обозначения требованиям законодательства с выводами о возможности регистрации обозначения в качестве товарного знака и рекомендации по</w:t>
            </w:r>
            <w:r>
              <w:rPr>
                <w:bCs/>
                <w:sz w:val="24"/>
                <w:szCs w:val="24"/>
                <w:highlight w:val="white"/>
              </w:rPr>
              <w:t xml:space="preserve"> подбору</w:t>
            </w:r>
            <w:r>
              <w:rPr>
                <w:bCs/>
                <w:sz w:val="24"/>
                <w:szCs w:val="24"/>
                <w:highlight w:val="white"/>
              </w:rPr>
              <w:t xml:space="preserve"> классов товаров и услуг в соответствии с </w:t>
            </w:r>
            <w:r>
              <w:rPr>
                <w:bCs/>
                <w:sz w:val="24"/>
                <w:szCs w:val="24"/>
                <w:highlight w:val="white"/>
              </w:rPr>
              <w:t xml:space="preserve">Международной классификацией товаров и услуг (МКТУ) (предоставляется Заказчику и Получателю).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Исполнитель </w:t>
            </w:r>
            <w:r>
              <w:rPr>
                <w:sz w:val="24"/>
                <w:szCs w:val="24"/>
                <w:highlight w:val="white"/>
              </w:rPr>
              <w:t xml:space="preserve">подбирает классы товаров и услуг в соответствии с Международной классификацией товаров и услуг (МКТУ). Перечень классов товаров и услуг согласовывается с Получателем.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Исполнитель подготавливает, согласовывает с Получателем и оформляет заявку на регистрацию товарного знака в Российской Федерации.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Исполнитель подает заявку на регистрацию товарного знака в </w:t>
            </w:r>
            <w:r>
              <w:rPr>
                <w:bCs/>
                <w:sz w:val="24"/>
                <w:szCs w:val="24"/>
                <w:highlight w:val="white"/>
              </w:rPr>
              <w:t xml:space="preserve">Федеральную службу по интеллектуальной собственности (</w:t>
            </w:r>
            <w:r>
              <w:rPr>
                <w:sz w:val="24"/>
                <w:szCs w:val="24"/>
                <w:highlight w:val="white"/>
              </w:rPr>
              <w:t xml:space="preserve">Роспатент).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Исполнитель предоставляет Заказчику и Получателю Уведомление Федеральной службы по интеллектуальной собственности (Роспатента) о приеме и регистрации заявки (Заказчику предоставляется копия, Получателю – оригинал).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Исполнитель предоставляет Заказчику </w:t>
            </w:r>
            <w:r>
              <w:rPr>
                <w:bCs/>
                <w:sz w:val="24"/>
                <w:szCs w:val="24"/>
                <w:highlight w:val="white"/>
              </w:rPr>
              <w:t xml:space="preserve">акт оказанных услуг и счет на оплату.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Исполнитель сопровождает делопроизводство в </w:t>
            </w:r>
            <w:r>
              <w:rPr>
                <w:bCs/>
                <w:sz w:val="24"/>
                <w:szCs w:val="24"/>
                <w:highlight w:val="white"/>
              </w:rPr>
              <w:t xml:space="preserve">Федеральной службе по интеллектуальной собственности (</w:t>
            </w:r>
            <w:r>
              <w:rPr>
                <w:sz w:val="24"/>
                <w:szCs w:val="24"/>
                <w:highlight w:val="white"/>
              </w:rPr>
              <w:t xml:space="preserve">Роспатенте), в том числе ведет переписку с сотрудниками </w:t>
            </w:r>
            <w:r>
              <w:rPr>
                <w:bCs/>
                <w:sz w:val="24"/>
                <w:szCs w:val="24"/>
                <w:highlight w:val="white"/>
              </w:rPr>
              <w:t xml:space="preserve">Федеральной службы по интеллектуальной собственности (</w:t>
            </w:r>
            <w:r>
              <w:rPr>
                <w:sz w:val="24"/>
                <w:szCs w:val="24"/>
                <w:highlight w:val="white"/>
              </w:rPr>
              <w:t xml:space="preserve">Роспатента) или с третьими лицами при поступлении возражений на регистрацию, осуществляет подготовку ответов на запросы экспертизы.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Требования к содержанию, форме, оформлению заявки на участие в предварительном отборе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8"/>
              <w:contextualSpacing w:val="0"/>
              <w:ind w:left="0" w:firstLine="0"/>
              <w:tabs>
                <w:tab w:val="left" w:pos="31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13"/>
              </w:numPr>
              <w:contextualSpacing w:val="0"/>
              <w:ind w:left="0" w:firstLine="0"/>
              <w:tabs>
                <w:tab w:val="left" w:pos="60" w:leader="none"/>
                <w:tab w:val="left" w:pos="31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Заявление </w:t>
            </w:r>
            <w:r>
              <w:rPr>
                <w:sz w:val="24"/>
                <w:szCs w:val="24"/>
                <w:highlight w:val="white"/>
              </w:rPr>
              <w:t xml:space="preserve">на участие в предварительном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1 к закупочной документации.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Справка, подтверждающая соответствие участника предварительного отбора требованиям, установленным закупочной документацией. Рекомендуемая форма справки установлена приложением 6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Согласие на обработку персональных данных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Сведения о соисполнителях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3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4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5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Ценовое предложение на объект закупки на 2026 год.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Цена объекта закупки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8"/>
              <w:contextualSpacing w:val="0"/>
              <w:ind w:left="0" w:firstLine="0"/>
              <w:tabs>
                <w:tab w:val="left" w:pos="314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определяется условиями договора, но не более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26 000,00</w:t>
            </w:r>
            <w:r>
              <w:rPr>
                <w:sz w:val="24"/>
                <w:szCs w:val="24"/>
                <w:highlight w:val="white"/>
              </w:rPr>
              <w:t xml:space="preserve"> рублей за 1 услугу </w:t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Сроки и порядок оплаты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227"/>
        </w:trPr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Заявки на участие в п</w:t>
            </w:r>
            <w:r>
              <w:rPr>
                <w:sz w:val="24"/>
                <w:szCs w:val="24"/>
                <w:highlight w:val="white"/>
              </w:rPr>
              <w:t xml:space="preserve">редварительном отборе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на участие в предварительном отборе принимаются Заказчиком согласно графику работы Заказчика.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506, либо посредством предоставления сканированных документов на электронную почту </w:t>
            </w:r>
            <w:hyperlink r:id="rId11" w:tooltip="mailto:ur@mb41.ru" w:history="1">
              <w:r>
                <w:rPr>
                  <w:rStyle w:val="877"/>
                  <w:color w:val="auto"/>
                  <w:sz w:val="24"/>
                  <w:szCs w:val="24"/>
                  <w:highlight w:val="white"/>
                  <w:lang w:val="en-US"/>
                </w:rPr>
                <w:t xml:space="preserve">info</w:t>
              </w:r>
              <w:r>
                <w:rPr>
                  <w:rStyle w:val="877"/>
                  <w:color w:val="auto"/>
                  <w:sz w:val="24"/>
                  <w:szCs w:val="24"/>
                  <w:highlight w:val="white"/>
                </w:rPr>
                <w:t xml:space="preserve">@mb41.ru</w:t>
              </w:r>
            </w:hyperlink>
            <w:r>
              <w:rPr>
                <w:sz w:val="24"/>
                <w:szCs w:val="24"/>
                <w:highlight w:val="white"/>
              </w:rPr>
              <w:t xml:space="preserve"> с последующим направлением (досылкой) соответствующих документов на бумажном носителе в адрес Заказчика.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может быть передана заказчику </w:t>
            </w:r>
            <w:r>
              <w:rPr>
                <w:sz w:val="24"/>
                <w:szCs w:val="24"/>
                <w:highlight w:val="white"/>
              </w:rPr>
              <w:t xml:space="preserve">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регистрируются в журнале регистрации в момент их поступления Заказчику.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</w:t>
            </w:r>
            <w:r>
              <w:rPr>
                <w:sz w:val="24"/>
                <w:szCs w:val="24"/>
                <w:highlight w:val="white"/>
              </w:rPr>
              <w:t xml:space="preserve">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</w:t>
            </w:r>
            <w:r>
              <w:rPr>
                <w:sz w:val="24"/>
                <w:szCs w:val="24"/>
                <w:highlight w:val="white"/>
              </w:rPr>
              <w:t xml:space="preserve">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– с 9:00 до 16:00, сог</w:t>
            </w:r>
            <w:r>
              <w:rPr>
                <w:sz w:val="24"/>
                <w:szCs w:val="24"/>
                <w:highlight w:val="white"/>
              </w:rPr>
              <w:t xml:space="preserve">ласно дню поступления Заказчику.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</w:t>
            </w:r>
            <w:r>
              <w:rPr>
                <w:bCs/>
                <w:sz w:val="24"/>
                <w:szCs w:val="24"/>
                <w:highlight w:val="white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  <w:highlight w:val="white"/>
              </w:rPr>
              <w:t xml:space="preserve"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</w:t>
            </w:r>
            <w:r>
              <w:rPr>
                <w:bCs/>
                <w:sz w:val="24"/>
                <w:szCs w:val="24"/>
                <w:highlight w:val="white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производится на основании письменного </w:t>
            </w:r>
            <w:r>
              <w:rPr>
                <w:sz w:val="24"/>
                <w:szCs w:val="24"/>
                <w:highlight w:val="white"/>
              </w:rPr>
              <w:t xml:space="preserve">заявления участника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вправе подать только одну заявку в отношении каждого объекта закупки (Лота).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внесения Заказчиком изменений в закупочную документацию о проведении предварительного отбора участник предварительного отбора вправе подать новую заявку,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. В случае если участник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не подал новую з</w:t>
            </w:r>
            <w:r>
              <w:rPr>
                <w:sz w:val="24"/>
                <w:szCs w:val="24"/>
                <w:highlight w:val="white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  <w:highlight w:val="white"/>
              </w:rPr>
              <w:t xml:space="preserve">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04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.06.2026, 09:00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Окончание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10.06.2026, 17:30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Требования к участникам предварительного отбора</w:t>
            </w: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Участником предварительного отбора может быть </w:t>
            </w:r>
            <w:r>
              <w:rPr>
                <w:sz w:val="24"/>
                <w:szCs w:val="24"/>
                <w:highlight w:val="white"/>
              </w:rPr>
              <w:t xml:space="preserve">юридическое лицо, индивидуальны</w:t>
            </w:r>
            <w:r>
              <w:rPr>
                <w:sz w:val="24"/>
                <w:szCs w:val="24"/>
                <w:highlight w:val="white"/>
              </w:rPr>
              <w:t xml:space="preserve">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соответствие к требованиям, предъявляемым к Исполнителю для оказания данной услуги.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у участника предварительного отбора в выписке из Единого государственного реестра индивидуальных предпринимателей или юридических лиц вида(</w:t>
            </w:r>
            <w:r>
              <w:rPr>
                <w:sz w:val="24"/>
                <w:szCs w:val="24"/>
                <w:highlight w:val="white"/>
              </w:rPr>
              <w:t xml:space="preserve">ов</w:t>
            </w:r>
            <w:r>
              <w:rPr>
                <w:sz w:val="24"/>
                <w:szCs w:val="24"/>
                <w:highlight w:val="white"/>
              </w:rPr>
              <w:t xml:space="preserve">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предоставлении в составе заявки на участие в предварительном отборе информации о привлечении третьих ли</w:t>
            </w:r>
            <w:r>
              <w:rPr>
                <w:sz w:val="24"/>
                <w:szCs w:val="24"/>
                <w:highlight w:val="white"/>
              </w:rPr>
              <w:t xml:space="preserve">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Borders>
              <w:bottom w:val="single" w:color="auto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на момент проведения предварительного отбора и подведения его итогов претензион</w:t>
            </w:r>
            <w:r>
              <w:rPr>
                <w:sz w:val="24"/>
                <w:szCs w:val="24"/>
                <w:highlight w:val="white"/>
              </w:rPr>
              <w:t xml:space="preserve">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Borders>
              <w:top w:val="single" w:color="auto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59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</w:t>
            </w:r>
            <w:r>
              <w:rPr>
                <w:sz w:val="24"/>
                <w:szCs w:val="24"/>
                <w:highlight w:val="white"/>
              </w:rPr>
              <w:t xml:space="preserve">щее, объективное, беспристрастное исполнение им возложенных на него обязанностей (исполнения полномочий), или при которой возникает или может возникнуть противоречие между личной заинтересованностью работника Заказчика, и правами, и законными интересами За</w:t>
            </w:r>
            <w:r>
              <w:rPr>
                <w:sz w:val="24"/>
                <w:szCs w:val="24"/>
                <w:highlight w:val="white"/>
              </w:rPr>
              <w:t xml:space="preserve">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</w:t>
            </w:r>
            <w:r>
              <w:rPr>
                <w:sz w:val="24"/>
                <w:szCs w:val="24"/>
                <w:highlight w:val="white"/>
              </w:rPr>
              <w:t xml:space="preserve">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</w:t>
            </w:r>
            <w:r>
              <w:rPr>
                <w:sz w:val="24"/>
                <w:szCs w:val="24"/>
                <w:highlight w:val="white"/>
              </w:rPr>
              <w:t xml:space="preserve">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</w:t>
            </w:r>
            <w:r>
              <w:rPr>
                <w:sz w:val="24"/>
                <w:szCs w:val="24"/>
                <w:highlight w:val="white"/>
              </w:rPr>
              <w:t xml:space="preserve">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</w:t>
            </w:r>
            <w:r>
              <w:rPr>
                <w:sz w:val="24"/>
                <w:szCs w:val="24"/>
                <w:highlight w:val="white"/>
              </w:rPr>
              <w:t xml:space="preserve">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Под выгодоприобретателями понимаются физически</w:t>
            </w:r>
            <w:r>
              <w:rPr>
                <w:sz w:val="24"/>
                <w:szCs w:val="24"/>
                <w:highlight w:val="white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</w:t>
            </w:r>
            <w:r>
              <w:rPr>
                <w:sz w:val="24"/>
                <w:szCs w:val="24"/>
                <w:highlight w:val="white"/>
              </w:rPr>
              <w:t xml:space="preserve">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обязуется не использовать получ</w:t>
            </w:r>
            <w:r>
              <w:rPr>
                <w:sz w:val="24"/>
                <w:szCs w:val="24"/>
                <w:highlight w:val="white"/>
              </w:rPr>
      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</w:t>
            </w:r>
            <w:r>
              <w:rPr>
                <w:sz w:val="24"/>
                <w:szCs w:val="24"/>
                <w:highlight w:val="white"/>
              </w:rPr>
              <w:t xml:space="preserve">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</w:t>
            </w:r>
            <w:r>
              <w:rPr>
                <w:sz w:val="24"/>
                <w:szCs w:val="24"/>
                <w:highlight w:val="white"/>
              </w:rPr>
              <w:t xml:space="preserve">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</w:t>
            </w:r>
            <w:r>
              <w:rPr>
                <w:sz w:val="24"/>
                <w:szCs w:val="24"/>
                <w:highlight w:val="white"/>
              </w:rPr>
              <w:t xml:space="preserve">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</w:t>
            </w:r>
            <w:r>
              <w:rPr>
                <w:sz w:val="24"/>
                <w:szCs w:val="24"/>
                <w:highlight w:val="white"/>
              </w:rPr>
              <w:t xml:space="preserve">ских лиц, реализованное через участие в капитале указанных публичных акционерных обществ.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</w:t>
            </w:r>
            <w:r>
              <w:rPr>
                <w:sz w:val="24"/>
                <w:szCs w:val="24"/>
                <w:highlight w:val="white"/>
              </w:rPr>
              <w:t xml:space="preserve">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      </w:r>
            <w:r>
              <w:rPr>
                <w:sz w:val="24"/>
                <w:szCs w:val="24"/>
                <w:highlight w:val="white"/>
              </w:rPr>
              <w:t xml:space="preserve">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</w:t>
            </w:r>
            <w:r>
              <w:rPr>
                <w:sz w:val="24"/>
                <w:szCs w:val="24"/>
                <w:highlight w:val="white"/>
              </w:rPr>
      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реестре дисквалифицированных лиц отсутствуют сведения о дисквалифицированном руководителе участника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Место, дата, время проведения предварительного отбора</w:t>
            </w: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80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Место</w:t>
            </w:r>
            <w:r>
              <w:rPr>
                <w:bCs/>
                <w:sz w:val="24"/>
                <w:szCs w:val="24"/>
                <w:highlight w:val="white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8"/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Дата, время проведения предварительного отбора: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Критерии оценки</w:t>
            </w: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8"/>
              <w:contextualSpacing w:val="0"/>
              <w:ind w:left="0"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Критерии: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contextualSpacing w:val="0"/>
              <w:ind w:left="0" w:firstLine="0"/>
              <w:tabs>
                <w:tab w:val="left" w:pos="226" w:leader="none"/>
                <w:tab w:val="left" w:pos="37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Оценки: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9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0 % до 9,99% – 0 баллов;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10 % до 19,99 % – 1 балл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20 % до 29,99 % – </w:t>
            </w:r>
            <w:r>
              <w:rPr>
                <w:sz w:val="24"/>
                <w:szCs w:val="24"/>
                <w:highlight w:val="white"/>
              </w:rPr>
              <w:br/>
              <w:t xml:space="preserve">2 балла;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30 % до 39,99 % – </w:t>
            </w:r>
            <w:r>
              <w:rPr>
                <w:sz w:val="24"/>
                <w:szCs w:val="24"/>
                <w:highlight w:val="white"/>
              </w:rPr>
              <w:br/>
              <w:t xml:space="preserve">3 балла;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40 % до 49,99 % – </w:t>
            </w:r>
            <w:r>
              <w:rPr>
                <w:sz w:val="24"/>
                <w:szCs w:val="24"/>
                <w:highlight w:val="white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9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0 до 15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16 до 30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30 и более оказанных услуг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9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0 до 5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6 до 10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11 до 15 оказанных услуг – 6 баллов;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16 и более оказанных услуг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9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– соисполнителей: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- 0 соисполнителей – 3 балла;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- 1 соисполнитель – 2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- 2 соисполнителя – 1 балл;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8"/>
              <w:ind w:left="0" w:firstLine="0"/>
              <w:tabs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- 3 и более соисполнителей – 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Минимальный балл для включения в реестр исполнителей по итогам предварительного отбора – 8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ind w:left="0" w:firstLine="0"/>
              <w:jc w:val="left"/>
              <w:tabs>
                <w:tab w:val="left" w:pos="452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Порядок рассмотрения заявок на </w:t>
            </w: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участие</w:t>
            </w:r>
            <w:r>
              <w:rPr>
                <w:b/>
                <w:sz w:val="24"/>
                <w:szCs w:val="24"/>
                <w:highlight w:val="white"/>
              </w:rPr>
              <w:t xml:space="preserve"> в предварительном отборе и формирования реестра исполнителей</w:t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/>
            <w:bookmarkStart w:id="2" w:name="_Hlk136005700"/>
            <w:r>
              <w:rPr>
                <w:sz w:val="24"/>
                <w:szCs w:val="24"/>
                <w:highlight w:val="white"/>
              </w:rPr>
              <w:t xml:space="preserve"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отказе во включении участника предварительного отбора в реестр исполнителей принимается, если: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соответствует требованиям, установленным закупочной документацией о проведении предварительного отбора;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для проведения предварительного отбора представлены не в полном объеме или предоставлена недостоверная информация;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на участие в предварительном отборе не соответствует требованиям, установленным закупочной документацией о проведении предварительного отбора;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заявке на участие в предварительном отборе превышена установленная закупочной документацией цена услуги;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подача одним участником предварительного отбора двух и более заявок по одному лоту;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4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ind w:left="37" w:hanging="37"/>
              <w:tabs>
                <w:tab w:val="left" w:pos="37" w:leader="none"/>
                <w:tab w:val="left" w:pos="31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вправе принять решение об отстранении участника предварительного отбора от участия в закупке на любом этапе, если имеются сведения: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наличии конфликта интересов;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;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3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нарушении участником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отказе в допуске участника предварительного отбора 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реестр исполнителей включ</w:t>
            </w:r>
            <w:r>
              <w:rPr>
                <w:sz w:val="24"/>
                <w:szCs w:val="24"/>
                <w:highlight w:val="white"/>
              </w:rPr>
              <w:t xml:space="preserve">аются не более 10 участников предварительного 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участник предварительного отбора, подавший заявку ранее.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утверждает реестр исполнителей, в который включаются участники предварительного отбора, в отношении которых принято решение о включении их в реестр исполнителей.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размещает сформированный реестр исполнителей на сайте </w:t>
            </w:r>
            <w:hyperlink r:id="rId12" w:tooltip="http://www.мойбизнес41.рф" w:history="1">
              <w:r>
                <w:rPr>
                  <w:sz w:val="24"/>
                  <w:szCs w:val="24"/>
                  <w:highlight w:val="white"/>
                </w:rPr>
                <w:t xml:space="preserve">Мойбизнес41.рф</w:t>
              </w:r>
            </w:hyperlink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8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Реестр исполнителей действует в рамках текущего календарного года. Из числа Исполнителей, состоящих в указанном реестре, Получатель услуги выбирает конкретного Исполнителя для оказания ему услуги.</w:t>
            </w:r>
            <w:bookmarkEnd w:id="2"/>
            <w:r/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page" w:clear="all"/>
      </w:r>
      <w:r>
        <w:rPr>
          <w:sz w:val="24"/>
          <w:szCs w:val="24"/>
          <w:highlight w:val="white"/>
        </w:rPr>
      </w:r>
    </w:p>
    <w:tbl>
      <w:tblPr>
        <w:tblStyle w:val="881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/>
            <w:bookmarkStart w:id="3" w:name="_Hlk135299644"/>
            <w:r/>
            <w:bookmarkStart w:id="4" w:name="_Hlk135300278"/>
            <w:r/>
            <w:bookmarkStart w:id="5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878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«03»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tbl>
      <w:tblPr>
        <w:tblStyle w:val="881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Заявление на участие в предварительном отборе*</w:t>
      </w:r>
      <w:r>
        <w:rPr>
          <w:b/>
          <w:sz w:val="23"/>
          <w:szCs w:val="23"/>
          <w:highlight w:val="white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1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Сведения об участнике предварительного отбора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участника предварительного отбора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Фактическое место нахождения участника предварительного отбора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78"/>
        <w:numPr>
          <w:ilvl w:val="0"/>
          <w:numId w:val="5"/>
        </w:numPr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Изучив закупочную документацию о проведении предварительного отбора</w:t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1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878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участника предварительного отбора)</w:t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878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сообщает об участии в 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предварительном отборе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highlight w:val="white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78"/>
        <w:numPr>
          <w:ilvl w:val="0"/>
          <w:numId w:val="5"/>
        </w:numPr>
        <w:ind w:left="0" w:firstLine="0"/>
        <w:shd w:val="clear" w:color="auto" w:fill="ffffff"/>
        <w:tabs>
          <w:tab w:val="left" w:pos="42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Участник предварительного отбора 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83"/>
        <w:ind w:firstLine="567"/>
        <w:jc w:val="both"/>
        <w:spacing w:line="240" w:lineRule="auto"/>
        <w:tabs>
          <w:tab w:val="left" w:pos="851" w:leader="none"/>
        </w:tabs>
        <w:rPr>
          <w:rFonts w:eastAsia="Calibri"/>
          <w:sz w:val="23"/>
          <w:szCs w:val="23"/>
          <w:highlight w:val="white"/>
        </w:rPr>
      </w:pPr>
      <w:r>
        <w:rPr>
          <w:rFonts w:eastAsia="Calibri"/>
          <w:sz w:val="23"/>
          <w:szCs w:val="23"/>
          <w:highlight w:val="white"/>
        </w:rPr>
      </w:r>
      <w:r>
        <w:rPr>
          <w:rFonts w:eastAsia="Calibri"/>
          <w:sz w:val="23"/>
          <w:szCs w:val="23"/>
          <w:highlight w:val="white"/>
        </w:rPr>
      </w:r>
    </w:p>
    <w:p>
      <w:pPr>
        <w:pStyle w:val="878"/>
        <w:ind w:left="0"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1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8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8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Ценовое предложение на объект закупки на 2026 год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Сведения о соисполнителях (при наличии)</w:t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5.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работы с Центрами «Мой бизнес» на территории Российской Федерации (при наличии такого опыта)</w:t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Справка о соответствии требованиям, предъявляемым закупочной документацией</w:t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Иные документы (при наличии)</w:t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8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/>
            <w:bookmarkStart w:id="6" w:name="_Hlk135300611"/>
            <w:r/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«______»________________20____ </w:t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jc w:val="left"/>
        <w:rPr>
          <w:sz w:val="18"/>
          <w:szCs w:val="18"/>
          <w:highlight w:val="white"/>
        </w:rPr>
      </w:pPr>
      <w:r/>
      <w:bookmarkStart w:id="7" w:name="_Hlk131581893"/>
      <w:r/>
      <w:bookmarkEnd w:id="3"/>
      <w:r>
        <w:rPr>
          <w:sz w:val="18"/>
          <w:szCs w:val="18"/>
          <w:highlight w:val="white"/>
        </w:rPr>
        <w:t xml:space="preserve">* При заполнении заявки уполномоченным (доверенным) лицом участника предварительного отбора, к заявке прилагается доверенность.</w:t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br w:type="page" w:clear="all"/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Style w:val="881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/>
            <w:bookmarkStart w:id="8" w:name="_Hlk135235034"/>
            <w:r/>
            <w:bookmarkEnd w:id="7"/>
            <w:r/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2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03»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/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0"/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Согласие</w:t>
      </w:r>
      <w:r>
        <w:rPr>
          <w:b/>
          <w:bCs/>
          <w:sz w:val="23"/>
          <w:szCs w:val="23"/>
          <w:highlight w:val="white"/>
        </w:rPr>
      </w:r>
    </w:p>
    <w:p>
      <w:pPr>
        <w:pStyle w:val="909"/>
        <w:spacing w:line="240" w:lineRule="auto"/>
        <w:rPr>
          <w:rFonts w:cs="Times New Roman"/>
          <w:sz w:val="23"/>
          <w:szCs w:val="23"/>
          <w:highlight w:val="white"/>
        </w:rPr>
      </w:pPr>
      <w:r>
        <w:rPr>
          <w:rFonts w:cs="Times New Roman"/>
          <w:sz w:val="23"/>
          <w:szCs w:val="23"/>
          <w:highlight w:val="white"/>
        </w:rPr>
        <w:t xml:space="preserve">на обработку персональных данных</w:t>
      </w:r>
      <w:r>
        <w:rPr>
          <w:rFonts w:cs="Times New Roman"/>
          <w:sz w:val="23"/>
          <w:szCs w:val="23"/>
          <w:highlight w:val="white"/>
        </w:rPr>
      </w:r>
    </w:p>
    <w:p>
      <w:pPr>
        <w:jc w:val="center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Я,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зарегистрированный(</w:t>
            </w:r>
            <w:r>
              <w:rPr>
                <w:sz w:val="20"/>
                <w:szCs w:val="20"/>
                <w:highlight w:val="white"/>
              </w:rPr>
              <w:t xml:space="preserve">ая</w:t>
            </w:r>
            <w:r>
              <w:rPr>
                <w:sz w:val="20"/>
                <w:szCs w:val="20"/>
                <w:highlight w:val="white"/>
              </w:rPr>
              <w:t xml:space="preserve">) по адресу: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проживающий(</w:t>
            </w:r>
            <w:r>
              <w:rPr>
                <w:sz w:val="20"/>
                <w:szCs w:val="20"/>
                <w:highlight w:val="white"/>
              </w:rPr>
              <w:t xml:space="preserve">ая</w:t>
            </w:r>
            <w:r>
              <w:rPr>
                <w:sz w:val="20"/>
                <w:szCs w:val="20"/>
                <w:highlight w:val="white"/>
              </w:rPr>
              <w:t xml:space="preserve">) по адресу: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паспорт серии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выдан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выдачи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«____» ____________ _________г.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являюсь субъектом персональных данных и свободно, своей волей и в своем интересе в соответствии с требова</w:t>
            </w:r>
            <w:r>
              <w:rPr>
                <w:sz w:val="20"/>
                <w:szCs w:val="20"/>
                <w:highlight w:val="white"/>
              </w:rPr>
              <w:t xml:space="preserve">ниями Федерального закона от 27.07.2006 № 152-ФЗ «О персональных данных» даю согласие уполномоченным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</w:t>
            </w:r>
            <w:r>
              <w:rPr>
                <w:sz w:val="20"/>
                <w:szCs w:val="20"/>
                <w:highlight w:val="white"/>
              </w:rPr>
              <w:t xml:space="preserve">г.Петропавловск</w:t>
            </w:r>
            <w:r>
              <w:rPr>
                <w:sz w:val="20"/>
                <w:szCs w:val="20"/>
                <w:highlight w:val="white"/>
              </w:rPr>
              <w:t xml:space="preserve">-Камчатский, проспект Карла Маркса, д. 23, офис 506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</w:t>
            </w:r>
            <w:r>
              <w:rPr>
                <w:sz w:val="20"/>
                <w:szCs w:val="20"/>
                <w:highlight w:val="white"/>
              </w:rPr>
              <w:t xml:space="preserve">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</w:t>
            </w:r>
            <w:r>
              <w:rPr>
                <w:sz w:val="20"/>
                <w:szCs w:val="20"/>
                <w:highlight w:val="white"/>
              </w:rPr>
              <w:t xml:space="preserve">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</w:t>
            </w:r>
            <w:r>
              <w:rPr>
                <w:sz w:val="20"/>
                <w:szCs w:val="20"/>
                <w:highlight w:val="white"/>
              </w:rPr>
              <w:t xml:space="preserve">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</w:t>
            </w:r>
            <w:r>
              <w:rPr>
                <w:sz w:val="20"/>
                <w:szCs w:val="20"/>
                <w:highlight w:val="white"/>
              </w:rPr>
              <w:t xml:space="preserve">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  <w:highlight w:val="white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</w:t>
            </w:r>
            <w:r>
              <w:rPr>
                <w:sz w:val="20"/>
                <w:szCs w:val="20"/>
                <w:highlight w:val="white"/>
              </w:rPr>
              <w:t xml:space="preserve">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</w:t>
            </w:r>
            <w:r>
              <w:rPr>
                <w:sz w:val="20"/>
                <w:szCs w:val="20"/>
                <w:highlight w:val="white"/>
              </w:rPr>
              <w:t xml:space="preserve">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в сл</w:t>
            </w:r>
            <w:r>
              <w:rPr>
                <w:sz w:val="20"/>
                <w:szCs w:val="20"/>
                <w:highlight w:val="white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rPr>
          <w:sz w:val="18"/>
          <w:szCs w:val="18"/>
          <w:highlight w:val="none"/>
        </w:rPr>
      </w:pPr>
      <w:r>
        <w:rPr>
          <w:b/>
          <w:bCs/>
          <w:sz w:val="20"/>
          <w:szCs w:val="20"/>
          <w:highlight w:val="white"/>
        </w:rPr>
        <w:t xml:space="preserve">* </w:t>
      </w:r>
      <w:r>
        <w:rPr>
          <w:sz w:val="18"/>
          <w:szCs w:val="18"/>
          <w:highlight w:val="white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  <w:highlight w:val="white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sz w:val="18"/>
          <w:szCs w:val="18"/>
          <w:highlight w:val="none"/>
        </w:rPr>
      </w:r>
    </w:p>
    <w:p>
      <w:pPr>
        <w:shd w:val="nil"/>
        <w:rPr>
          <w:sz w:val="18"/>
          <w:szCs w:val="18"/>
          <w:highlight w:val="white"/>
        </w:rPr>
      </w:pPr>
      <w:r>
        <w:rPr>
          <w:sz w:val="18"/>
          <w:szCs w:val="18"/>
          <w:highlight w:val="none"/>
        </w:rPr>
        <w:br w:type="page" w:clear="all"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Style w:val="881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br w:type="page" w:clear="all"/>
            </w: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3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03»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/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  <w:t xml:space="preserve">Сведения о соисполнителях* </w:t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Style w:val="881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9" w:name="_Hlk203405105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предварительного отбора:</w:t>
            </w:r>
            <w:bookmarkEnd w:id="9"/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W w:w="10011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Место </w:t>
            </w:r>
            <w:r>
              <w:rPr>
                <w:b/>
                <w:bCs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rPr>
          <w:iCs/>
          <w:sz w:val="16"/>
          <w:szCs w:val="16"/>
          <w:highlight w:val="none"/>
        </w:rPr>
      </w:pPr>
      <w:r>
        <w:rPr>
          <w:bCs/>
          <w:iCs/>
          <w:sz w:val="16"/>
          <w:szCs w:val="16"/>
          <w:highlight w:val="white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iCs/>
          <w:sz w:val="16"/>
          <w:szCs w:val="16"/>
          <w:highlight w:val="none"/>
        </w:rPr>
      </w:r>
    </w:p>
    <w:p>
      <w:pPr>
        <w:shd w:val="nil"/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none"/>
        </w:rPr>
        <w:br w:type="page" w:clear="all"/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ind w:firstLine="0"/>
        <w:rPr>
          <w:b/>
          <w:bCs/>
          <w:sz w:val="20"/>
          <w:szCs w:val="20"/>
          <w:highlight w:val="white"/>
        </w:rPr>
      </w:pPr>
      <w:r>
        <w:rPr>
          <w:bCs/>
          <w:iCs/>
          <w:sz w:val="16"/>
          <w:szCs w:val="16"/>
          <w:highlight w:val="none"/>
        </w:rPr>
      </w:r>
      <w:r>
        <w:rPr>
          <w:bCs/>
          <w:iCs/>
          <w:sz w:val="16"/>
          <w:szCs w:val="16"/>
          <w:highlight w:val="none"/>
        </w:rPr>
      </w:r>
    </w:p>
    <w:tbl>
      <w:tblPr>
        <w:tblStyle w:val="881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</w:p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4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03»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/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оказания услуг, аналогичных объекту закупки*</w:t>
      </w:r>
      <w:r>
        <w:rPr>
          <w:b/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1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0" w:name="_Hlk203404990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предварительного отбора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:</w:t>
            </w:r>
            <w:bookmarkEnd w:id="10"/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1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98"/>
      </w:tblGrid>
      <w:tr>
        <w:tblPrEx/>
        <w:trPr/>
        <w:tc>
          <w:tcPr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1" w:name="_Hlk203404997"/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</w:t>
            </w:r>
            <w:r>
              <w:rPr>
                <w:iCs/>
                <w:sz w:val="23"/>
                <w:szCs w:val="23"/>
                <w:highlight w:val="white"/>
              </w:rPr>
              <w:t xml:space="preserve">аналогичных объекту закупки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  <w:vertAlign w:val="superscript"/>
              </w:rPr>
              <w:t xml:space="preserve">(название объекта закупки)</w:t>
            </w:r>
            <w:bookmarkEnd w:id="11"/>
            <w:r/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1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Период оказания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предварительного отбора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____________20____</w:t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  <w:r>
        <w:rPr>
          <w:sz w:val="16"/>
          <w:szCs w:val="16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</w:p>
    <w:tbl>
      <w:tblPr>
        <w:tblStyle w:val="881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5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03»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/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работы с Центрами «Мой бизнес» на территории Российской Федерации*</w:t>
      </w:r>
      <w:r>
        <w:rPr>
          <w:b/>
          <w:bCs/>
          <w:iCs/>
          <w:sz w:val="23"/>
          <w:szCs w:val="23"/>
          <w:highlight w:val="white"/>
        </w:rPr>
      </w:r>
    </w:p>
    <w:tbl>
      <w:tblPr>
        <w:tblStyle w:val="881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2" w:name="_Hlk203405053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предварительного отбора:</w:t>
            </w:r>
            <w:bookmarkEnd w:id="12"/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1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</w:t>
            </w:r>
            <w:r>
              <w:rPr>
                <w:iCs/>
                <w:sz w:val="23"/>
                <w:szCs w:val="23"/>
                <w:highlight w:val="white"/>
              </w:rPr>
              <w:t xml:space="preserve">аналогичных объекту закупки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  <w:vertAlign w:val="superscript"/>
              </w:rPr>
              <w:t xml:space="preserve">(название объекта закупки)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pStyle w:val="878"/>
        <w:ind w:left="851"/>
        <w:tabs>
          <w:tab w:val="left" w:pos="1134" w:leader="none"/>
        </w:tabs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1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Период оказания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п</w:t>
            </w:r>
            <w:r>
              <w:rPr>
                <w:b/>
                <w:iCs/>
                <w:sz w:val="23"/>
                <w:szCs w:val="23"/>
                <w:highlight w:val="white"/>
              </w:rPr>
              <w:t xml:space="preserve">редварительного отбора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142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rPr>
          <w:sz w:val="22"/>
          <w:szCs w:val="18"/>
          <w:highlight w:val="white"/>
        </w:rPr>
      </w:pPr>
      <w:r>
        <w:rPr>
          <w:sz w:val="16"/>
          <w:szCs w:val="16"/>
          <w:highlight w:val="white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r/>
      <w:bookmarkEnd w:id="5"/>
      <w:r/>
      <w:bookmarkEnd w:id="6"/>
      <w:r/>
      <w:bookmarkEnd w:id="8"/>
      <w:r/>
      <w:r>
        <w:rPr>
          <w:sz w:val="22"/>
          <w:szCs w:val="18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Style w:val="881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878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878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03»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/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91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881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1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Настоящим подтверждаем соответствие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________________________________следующим требованиям по состоянию на ______: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3" w:name="_Hlk157777207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</w:t>
      </w:r>
      <w:bookmarkEnd w:id="13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4" w:name="sub_1009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находится в процессе реорганизации (за исключением реорганизации в форме присоединения к юрид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5" w:name="_Hlk157777247"/>
      <w:r/>
      <w:bookmarkStart w:id="16" w:name="sub_1011"/>
      <w:r/>
      <w:bookmarkEnd w:id="14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участника предварительного отбора.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между участником предварительного отбора и автономной некоммерческой организацией «Камчатский центр поддержки предпринимательства» отсутствует конфликт интересов;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обязуется отказывать в предоставлении услуги получателю, если они состоят в одной группе лиц, определенных в соответствии с Федеральным законом от 26 июля 2006 г.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включен 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а также в реестр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0"/>
        <w:numPr>
          <w:ilvl w:val="1"/>
          <w:numId w:val="8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обязуется не использовать получ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6"/>
      <w:r/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tabs>
          <w:tab w:val="left" w:pos="127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4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6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8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0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4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6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0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4"/>
  </w:num>
  <w:num w:numId="5">
    <w:abstractNumId w:val="1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685">
    <w:name w:val="Heading 1"/>
    <w:basedOn w:val="684"/>
    <w:next w:val="684"/>
    <w:link w:val="893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686">
    <w:name w:val="Heading 2"/>
    <w:basedOn w:val="684"/>
    <w:next w:val="684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87">
    <w:name w:val="Heading 3"/>
    <w:basedOn w:val="684"/>
    <w:next w:val="6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88">
    <w:name w:val="Heading 4"/>
    <w:basedOn w:val="684"/>
    <w:next w:val="684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9">
    <w:name w:val="Heading 5"/>
    <w:basedOn w:val="684"/>
    <w:next w:val="684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0">
    <w:name w:val="Heading 6"/>
    <w:basedOn w:val="684"/>
    <w:next w:val="684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691">
    <w:name w:val="Heading 7"/>
    <w:basedOn w:val="684"/>
    <w:next w:val="6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692">
    <w:name w:val="Heading 8"/>
    <w:basedOn w:val="684"/>
    <w:next w:val="684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693">
    <w:name w:val="Heading 9"/>
    <w:basedOn w:val="684"/>
    <w:next w:val="684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2 Char"/>
    <w:basedOn w:val="694"/>
    <w:uiPriority w:val="9"/>
    <w:rPr>
      <w:rFonts w:ascii="Liberation Sans" w:hAnsi="Liberation Sans" w:eastAsia="Liberation Sans" w:cs="Liberation Sans"/>
      <w:sz w:val="34"/>
    </w:rPr>
  </w:style>
  <w:style w:type="character" w:styleId="698" w:customStyle="1">
    <w:name w:val="Heading 3 Char"/>
    <w:basedOn w:val="6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9" w:customStyle="1">
    <w:name w:val="Heading 4 Char"/>
    <w:basedOn w:val="69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0" w:customStyle="1">
    <w:name w:val="Heading 5 Char"/>
    <w:basedOn w:val="69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1" w:customStyle="1">
    <w:name w:val="Heading 6 Char"/>
    <w:basedOn w:val="69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2" w:customStyle="1">
    <w:name w:val="Heading 7 Char"/>
    <w:basedOn w:val="69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3" w:customStyle="1">
    <w:name w:val="Heading 8 Char"/>
    <w:basedOn w:val="69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4" w:customStyle="1">
    <w:name w:val="Heading 9 Char"/>
    <w:basedOn w:val="69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 w:customStyle="1">
    <w:name w:val="Title Char"/>
    <w:basedOn w:val="694"/>
    <w:uiPriority w:val="10"/>
    <w:rPr>
      <w:sz w:val="48"/>
      <w:szCs w:val="48"/>
    </w:rPr>
  </w:style>
  <w:style w:type="character" w:styleId="706" w:customStyle="1">
    <w:name w:val="Subtitle Char"/>
    <w:basedOn w:val="694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Header Char"/>
    <w:basedOn w:val="694"/>
    <w:uiPriority w:val="99"/>
  </w:style>
  <w:style w:type="character" w:styleId="710" w:customStyle="1">
    <w:name w:val="Footer Char"/>
    <w:basedOn w:val="694"/>
    <w:uiPriority w:val="99"/>
  </w:style>
  <w:style w:type="character" w:styleId="711" w:customStyle="1">
    <w:name w:val="Caption Char"/>
    <w:basedOn w:val="694"/>
    <w:uiPriority w:val="35"/>
    <w:rPr>
      <w:b/>
      <w:bCs/>
      <w:color w:val="4472c4" w:themeColor="accent1"/>
      <w:sz w:val="18"/>
      <w:szCs w:val="18"/>
    </w:rPr>
  </w:style>
  <w:style w:type="character" w:styleId="712" w:customStyle="1">
    <w:name w:val="Endnote Text Char"/>
    <w:uiPriority w:val="99"/>
    <w:rPr>
      <w:sz w:val="20"/>
    </w:rPr>
  </w:style>
  <w:style w:type="character" w:styleId="713" w:customStyle="1">
    <w:name w:val="Heading 1 Char"/>
    <w:basedOn w:val="69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4" w:customStyle="1">
    <w:name w:val="Заголовок 2 Знак"/>
    <w:basedOn w:val="694"/>
    <w:link w:val="686"/>
    <w:uiPriority w:val="9"/>
    <w:rPr>
      <w:rFonts w:ascii="Liberation Sans" w:hAnsi="Liberation Sans" w:eastAsia="Liberation Sans" w:cs="Liberation Sans"/>
      <w:sz w:val="34"/>
    </w:rPr>
  </w:style>
  <w:style w:type="character" w:styleId="715" w:customStyle="1">
    <w:name w:val="Заголовок 3 Знак"/>
    <w:basedOn w:val="694"/>
    <w:link w:val="68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6" w:customStyle="1">
    <w:name w:val="Заголовок 4 Знак"/>
    <w:basedOn w:val="694"/>
    <w:link w:val="68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7" w:customStyle="1">
    <w:name w:val="Заголовок 5 Знак"/>
    <w:basedOn w:val="694"/>
    <w:link w:val="68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8" w:customStyle="1">
    <w:name w:val="Заголовок 6 Знак"/>
    <w:basedOn w:val="694"/>
    <w:link w:val="69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9" w:customStyle="1">
    <w:name w:val="Заголовок 7 Знак"/>
    <w:basedOn w:val="694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0" w:customStyle="1">
    <w:name w:val="Заголовок 8 Знак"/>
    <w:basedOn w:val="694"/>
    <w:link w:val="69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1" w:customStyle="1">
    <w:name w:val="Заголовок 9 Знак"/>
    <w:basedOn w:val="694"/>
    <w:link w:val="69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84"/>
    <w:next w:val="684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basedOn w:val="694"/>
    <w:link w:val="723"/>
    <w:uiPriority w:val="10"/>
    <w:rPr>
      <w:sz w:val="48"/>
      <w:szCs w:val="48"/>
    </w:rPr>
  </w:style>
  <w:style w:type="paragraph" w:styleId="725">
    <w:name w:val="Subtitle"/>
    <w:basedOn w:val="684"/>
    <w:next w:val="684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 w:customStyle="1">
    <w:name w:val="Подзаголовок Знак"/>
    <w:basedOn w:val="694"/>
    <w:link w:val="725"/>
    <w:uiPriority w:val="11"/>
    <w:rPr>
      <w:sz w:val="24"/>
      <w:szCs w:val="24"/>
    </w:rPr>
  </w:style>
  <w:style w:type="paragraph" w:styleId="727">
    <w:name w:val="Quote"/>
    <w:basedOn w:val="684"/>
    <w:next w:val="68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4"/>
    <w:next w:val="68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84"/>
    <w:link w:val="73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2" w:customStyle="1">
    <w:name w:val="Верхний колонтитул Знак"/>
    <w:basedOn w:val="694"/>
    <w:link w:val="731"/>
    <w:uiPriority w:val="99"/>
  </w:style>
  <w:style w:type="paragraph" w:styleId="733">
    <w:name w:val="Footer"/>
    <w:basedOn w:val="684"/>
    <w:link w:val="73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4" w:customStyle="1">
    <w:name w:val="Нижний колонтитул Знак"/>
    <w:basedOn w:val="694"/>
    <w:link w:val="733"/>
    <w:uiPriority w:val="99"/>
  </w:style>
  <w:style w:type="paragraph" w:styleId="735">
    <w:name w:val="Caption"/>
    <w:basedOn w:val="684"/>
    <w:next w:val="684"/>
    <w:link w:val="73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6" w:customStyle="1">
    <w:name w:val="Название объекта Знак"/>
    <w:basedOn w:val="694"/>
    <w:link w:val="735"/>
    <w:uiPriority w:val="35"/>
    <w:rPr>
      <w:b/>
      <w:bCs/>
      <w:color w:val="4472c4" w:themeColor="accent1"/>
      <w:sz w:val="18"/>
      <w:szCs w:val="18"/>
    </w:rPr>
  </w:style>
  <w:style w:type="table" w:styleId="737" w:customStyle="1">
    <w:name w:val="Table Grid Light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9">
    <w:name w:val="Plain Table 2"/>
    <w:basedOn w:val="6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0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6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7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8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9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0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0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1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2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3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4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5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7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9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0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1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2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3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4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3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7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0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1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2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3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4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5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7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8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9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0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1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2" w:customStyle="1">
    <w:name w:val="Footnote Text Char"/>
    <w:uiPriority w:val="99"/>
    <w:rPr>
      <w:sz w:val="18"/>
    </w:rPr>
  </w:style>
  <w:style w:type="paragraph" w:styleId="863">
    <w:name w:val="endnote text"/>
    <w:basedOn w:val="684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694"/>
    <w:uiPriority w:val="99"/>
    <w:semiHidden/>
    <w:unhideWhenUsed/>
    <w:rPr>
      <w:vertAlign w:val="superscript"/>
    </w:rPr>
  </w:style>
  <w:style w:type="paragraph" w:styleId="866">
    <w:name w:val="toc 1"/>
    <w:basedOn w:val="684"/>
    <w:next w:val="684"/>
    <w:uiPriority w:val="39"/>
    <w:unhideWhenUsed/>
    <w:pPr>
      <w:ind w:firstLine="0"/>
      <w:spacing w:after="57"/>
    </w:pPr>
  </w:style>
  <w:style w:type="paragraph" w:styleId="867">
    <w:name w:val="toc 2"/>
    <w:basedOn w:val="684"/>
    <w:next w:val="684"/>
    <w:uiPriority w:val="39"/>
    <w:unhideWhenUsed/>
    <w:pPr>
      <w:ind w:left="283" w:firstLine="0"/>
      <w:spacing w:after="57"/>
    </w:pPr>
  </w:style>
  <w:style w:type="paragraph" w:styleId="868">
    <w:name w:val="toc 3"/>
    <w:basedOn w:val="684"/>
    <w:next w:val="684"/>
    <w:uiPriority w:val="39"/>
    <w:unhideWhenUsed/>
    <w:pPr>
      <w:ind w:left="567" w:firstLine="0"/>
      <w:spacing w:after="57"/>
    </w:pPr>
  </w:style>
  <w:style w:type="paragraph" w:styleId="869">
    <w:name w:val="toc 4"/>
    <w:basedOn w:val="684"/>
    <w:next w:val="684"/>
    <w:uiPriority w:val="39"/>
    <w:unhideWhenUsed/>
    <w:pPr>
      <w:ind w:left="850" w:firstLine="0"/>
      <w:spacing w:after="57"/>
    </w:pPr>
  </w:style>
  <w:style w:type="paragraph" w:styleId="870">
    <w:name w:val="toc 5"/>
    <w:basedOn w:val="684"/>
    <w:next w:val="684"/>
    <w:uiPriority w:val="39"/>
    <w:unhideWhenUsed/>
    <w:pPr>
      <w:ind w:left="1134" w:firstLine="0"/>
      <w:spacing w:after="57"/>
    </w:pPr>
  </w:style>
  <w:style w:type="paragraph" w:styleId="871">
    <w:name w:val="toc 6"/>
    <w:basedOn w:val="684"/>
    <w:next w:val="684"/>
    <w:uiPriority w:val="39"/>
    <w:unhideWhenUsed/>
    <w:pPr>
      <w:ind w:left="1417" w:firstLine="0"/>
      <w:spacing w:after="57"/>
    </w:pPr>
  </w:style>
  <w:style w:type="paragraph" w:styleId="872">
    <w:name w:val="toc 7"/>
    <w:basedOn w:val="684"/>
    <w:next w:val="684"/>
    <w:uiPriority w:val="39"/>
    <w:unhideWhenUsed/>
    <w:pPr>
      <w:ind w:left="1701" w:firstLine="0"/>
      <w:spacing w:after="57"/>
    </w:pPr>
  </w:style>
  <w:style w:type="paragraph" w:styleId="873">
    <w:name w:val="toc 8"/>
    <w:basedOn w:val="684"/>
    <w:next w:val="684"/>
    <w:uiPriority w:val="39"/>
    <w:unhideWhenUsed/>
    <w:pPr>
      <w:ind w:left="1984" w:firstLine="0"/>
      <w:spacing w:after="57"/>
    </w:pPr>
  </w:style>
  <w:style w:type="paragraph" w:styleId="874">
    <w:name w:val="toc 9"/>
    <w:basedOn w:val="684"/>
    <w:next w:val="684"/>
    <w:uiPriority w:val="39"/>
    <w:unhideWhenUsed/>
    <w:pPr>
      <w:ind w:left="2268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84"/>
    <w:next w:val="684"/>
    <w:uiPriority w:val="99"/>
    <w:unhideWhenUsed/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List Paragraph"/>
    <w:basedOn w:val="684"/>
    <w:link w:val="885"/>
    <w:uiPriority w:val="34"/>
    <w:qFormat/>
    <w:pPr>
      <w:contextualSpacing/>
      <w:ind w:left="720"/>
    </w:pPr>
  </w:style>
  <w:style w:type="character" w:styleId="879" w:customStyle="1">
    <w:name w:val="Другое_"/>
    <w:basedOn w:val="694"/>
    <w:link w:val="8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80" w:customStyle="1">
    <w:name w:val="Другое"/>
    <w:basedOn w:val="684"/>
    <w:link w:val="879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881">
    <w:name w:val="Table Grid"/>
    <w:basedOn w:val="69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2" w:customStyle="1">
    <w:name w:val="Основной текст_"/>
    <w:basedOn w:val="694"/>
    <w:link w:val="883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83" w:customStyle="1">
    <w:name w:val="Основной текст1"/>
    <w:basedOn w:val="684"/>
    <w:link w:val="882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884">
    <w:name w:val="Normal (Web)"/>
    <w:basedOn w:val="684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885" w:customStyle="1">
    <w:name w:val="Абзац списка Знак"/>
    <w:link w:val="878"/>
    <w:uiPriority w:val="34"/>
    <w:rPr>
      <w:rFonts w:ascii="Times New Roman" w:hAnsi="Times New Roman" w:eastAsia="Calibri" w:cs="Times New Roman"/>
      <w:sz w:val="28"/>
    </w:rPr>
  </w:style>
  <w:style w:type="paragraph" w:styleId="886">
    <w:name w:val="Body Text"/>
    <w:basedOn w:val="684"/>
    <w:link w:val="887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887" w:customStyle="1">
    <w:name w:val="Основной текст Знак"/>
    <w:basedOn w:val="694"/>
    <w:link w:val="886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888" w:customStyle="1">
    <w:name w:val="Заголовок №3_"/>
    <w:basedOn w:val="694"/>
    <w:link w:val="889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889" w:customStyle="1">
    <w:name w:val="Заголовок №3"/>
    <w:basedOn w:val="684"/>
    <w:link w:val="888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890" w:customStyle="1">
    <w:name w:val="Неразрешенное упоминание1"/>
    <w:basedOn w:val="694"/>
    <w:uiPriority w:val="99"/>
    <w:semiHidden/>
    <w:unhideWhenUsed/>
    <w:rPr>
      <w:color w:val="605e5c"/>
      <w:shd w:val="clear" w:color="auto" w:fill="e1dfdd"/>
    </w:rPr>
  </w:style>
  <w:style w:type="character" w:styleId="891" w:customStyle="1">
    <w:name w:val="Неразрешенное упоминание2"/>
    <w:basedOn w:val="694"/>
    <w:uiPriority w:val="99"/>
    <w:semiHidden/>
    <w:unhideWhenUsed/>
    <w:rPr>
      <w:color w:val="605e5c"/>
      <w:shd w:val="clear" w:color="auto" w:fill="e1dfdd"/>
    </w:rPr>
  </w:style>
  <w:style w:type="character" w:styleId="892" w:customStyle="1">
    <w:name w:val="Неразрешенное упоминание3"/>
    <w:basedOn w:val="694"/>
    <w:uiPriority w:val="99"/>
    <w:semiHidden/>
    <w:unhideWhenUsed/>
    <w:rPr>
      <w:color w:val="605e5c"/>
      <w:shd w:val="clear" w:color="auto" w:fill="e1dfdd"/>
    </w:rPr>
  </w:style>
  <w:style w:type="character" w:styleId="893" w:customStyle="1">
    <w:name w:val="Заголовок 1 Знак"/>
    <w:basedOn w:val="694"/>
    <w:link w:val="685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894" w:customStyle="1">
    <w:name w:val="Ответы Знак"/>
    <w:link w:val="895"/>
    <w:rPr>
      <w:rFonts w:ascii="Arial" w:hAnsi="Arial"/>
      <w:sz w:val="18"/>
    </w:rPr>
  </w:style>
  <w:style w:type="paragraph" w:styleId="895" w:customStyle="1">
    <w:name w:val="Ответы"/>
    <w:basedOn w:val="684"/>
    <w:link w:val="894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896" w:customStyle="1">
    <w:name w:val="timesnewroman"/>
    <w:basedOn w:val="886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97">
    <w:name w:val="footnote text"/>
    <w:basedOn w:val="684"/>
    <w:link w:val="898"/>
    <w:uiPriority w:val="99"/>
    <w:semiHidden/>
    <w:unhideWhenUsed/>
    <w:rPr>
      <w:sz w:val="20"/>
      <w:szCs w:val="20"/>
    </w:rPr>
  </w:style>
  <w:style w:type="character" w:styleId="898" w:customStyle="1">
    <w:name w:val="Текст сноски Знак"/>
    <w:basedOn w:val="694"/>
    <w:link w:val="897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899">
    <w:name w:val="footnote reference"/>
    <w:basedOn w:val="694"/>
    <w:uiPriority w:val="99"/>
    <w:semiHidden/>
    <w:unhideWhenUsed/>
    <w:rPr>
      <w:vertAlign w:val="superscript"/>
    </w:rPr>
  </w:style>
  <w:style w:type="character" w:styleId="900">
    <w:name w:val="annotation reference"/>
    <w:basedOn w:val="694"/>
    <w:uiPriority w:val="99"/>
    <w:semiHidden/>
    <w:unhideWhenUsed/>
    <w:rPr>
      <w:sz w:val="16"/>
      <w:szCs w:val="16"/>
    </w:rPr>
  </w:style>
  <w:style w:type="paragraph" w:styleId="901">
    <w:name w:val="annotation text"/>
    <w:basedOn w:val="684"/>
    <w:link w:val="902"/>
    <w:uiPriority w:val="99"/>
    <w:unhideWhenUsed/>
    <w:rPr>
      <w:sz w:val="20"/>
      <w:szCs w:val="20"/>
    </w:rPr>
  </w:style>
  <w:style w:type="character" w:styleId="902" w:customStyle="1">
    <w:name w:val="Текст примечания Знак"/>
    <w:basedOn w:val="694"/>
    <w:link w:val="901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903">
    <w:name w:val="Balloon Text"/>
    <w:basedOn w:val="684"/>
    <w:link w:val="90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694"/>
    <w:link w:val="903"/>
    <w:uiPriority w:val="99"/>
    <w:semiHidden/>
    <w:rPr>
      <w:rFonts w:ascii="Segoe UI" w:hAnsi="Segoe UI" w:eastAsia="Calibri" w:cs="Segoe UI"/>
      <w:sz w:val="18"/>
      <w:szCs w:val="18"/>
    </w:rPr>
  </w:style>
  <w:style w:type="paragraph" w:styleId="905">
    <w:name w:val="annotation subject"/>
    <w:basedOn w:val="901"/>
    <w:next w:val="901"/>
    <w:link w:val="906"/>
    <w:uiPriority w:val="99"/>
    <w:semiHidden/>
    <w:unhideWhenUsed/>
    <w:rPr>
      <w:b/>
      <w:bCs/>
    </w:rPr>
  </w:style>
  <w:style w:type="character" w:styleId="906" w:customStyle="1">
    <w:name w:val="Тема примечания Знак"/>
    <w:basedOn w:val="902"/>
    <w:link w:val="905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907" w:customStyle="1">
    <w:name w:val="Основной шрифт абзаца1"/>
  </w:style>
  <w:style w:type="character" w:styleId="908">
    <w:name w:val="Unresolved Mention"/>
    <w:basedOn w:val="694"/>
    <w:uiPriority w:val="99"/>
    <w:semiHidden/>
    <w:unhideWhenUsed/>
    <w:rPr>
      <w:color w:val="605e5c"/>
      <w:shd w:val="clear" w:color="auto" w:fill="e1dfdd"/>
    </w:rPr>
  </w:style>
  <w:style w:type="paragraph" w:styleId="909" w:customStyle="1">
    <w:name w:val="Заголовки приложений"/>
    <w:basedOn w:val="684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91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mailto:ur@mb41.ru" TargetMode="External"/><Relationship Id="rId12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semenovykhpa</cp:lastModifiedBy>
  <cp:revision>196</cp:revision>
  <dcterms:created xsi:type="dcterms:W3CDTF">2024-02-19T01:58:00Z</dcterms:created>
  <dcterms:modified xsi:type="dcterms:W3CDTF">2026-06-03T04:51:39Z</dcterms:modified>
</cp:coreProperties>
</file>