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left="5669" w:right="0" w:firstLine="0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Приложение 2 к Порядку предоставления из краевого бюджета государственной финансовой поддержки субъектам малого и среднего предпринимательства, признанным социальными предприятиями, и проведения отбора получателей субсидии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5102" w:right="0" w:firstLine="0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numPr>
          <w:ilvl w:val="0"/>
          <w:numId w:val="0"/>
        </w:numPr>
        <w:ind w:left="0" w:right="0" w:firstLine="0"/>
        <w:jc w:val="center"/>
        <w:keepNext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  <w:outlineLvl w:val="0"/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Перечень документов,</w:t>
      </w:r>
      <w: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представляемых юридическими лицами для участия в отборе по предоставлению государственной финансовой поддержки субъектам малого и среднего предпринимательства, признанным социальными предприятиями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1. 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огласие на обработку персональных данных руководителя юридического лица, согласие на передачу персональных данных руководителя юридического лица, по форме, утвержденной приказом Министерства экономического развития Камчатского края  (далее – Министерство).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2. Копия(и) документа(ов), подтверждающих полномочия руководителя юридического лица на осуществление действий от имени юридического лица.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3. Копии всех страниц паспорта руководителя юридического лица.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4. Бизнес-план по форме, утвержденной приказом Министерства.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5. Копия документа, подтверждающего наличие права пользования объектом недвижимого имущества, частью объекта недвижимого имущества (земельный участок, здание, помещение, строение, сооружение), являющегося нежилым,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с видом разрешенного использования или целевым назначением, допускающим реализацию проекта согласно бизнес-плану, копия акта приема-передачи объекта недвижимого имущества, части объекта недвижимого имущества (предоставляется в случае если наличие акта прие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ма-передачи предусмотрено документом, подтверждающим наличие права пользования объектом недвижимого имущества, частью объекта недвижимого имущества). В случае, если для реализации проекта используются несколько объектов недвижимого имущества, частей объект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а(ов) недвижимого имущества (земельный участок, здание, помещение, строение, сооружение), то копии документов, подтверждающих наличие подтвержденного права пользования всеми такими объектами недвижимого имущества, частями объекта(ов) недвижимого имущества.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6. Копия документа, подтверждающего прохождение руководителем или учредителем (одним из учредителей) юридического лица обучения основам предпринимательской деятельности (пр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одолжительность обучения должна составлять не менее 16 часов), или документа, подтверждающего наличие у руководителя или учредителя (одного из учредителей) юридического лица высшего юридического и (или) экономического образования либо профессиональной пере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 на день обращения за предоставлением субсидии не превышает 364 календарных дня).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7. Копии договора коммерческой концессии и свидетельства о госуда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в случае реализации проекта в рамках договора коммерческой концессии.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8. Копии документов, подтверждающих софинансирование участником отбора проекта, определенного бизнес-планом, за счет собственных средств в размере не менее 15 процентов от размера субсидии: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1) для подтверждения оплаты безналичным расчетом и получения товаров, имущества, услуг, работ у индивидуального предпринимателя, юридического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платежное поручение с отметкой банка;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указанный в платежном поручении документ, на основании которого была произведена оплата;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кассовый чек;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документ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3) для подтверждения оплаты безналичным расчетом и получения имущества у физического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платежное поручение с отметкой банка;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документ, на основании которого была произведена оплата, указанный в платежном поручении (договор);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документ, подтверждающий получение имущества (акт приема-передачи, </w:t>
      </w:r>
      <w:hyperlink r:id="rId8" w:tooltip="https://internet.garant.ru/document/redirect/72270082/1000" w:history="1">
        <w:r>
          <w:rPr>
            <w:rFonts w:ascii="Times New Roman" w:hAnsi="Times New Roman"/>
            <w:b w:val="0"/>
            <w:color w:val="000000"/>
            <w:sz w:val="28"/>
            <w:u w:val="none"/>
          </w:rPr>
          <w:t xml:space="preserve">паспорт</w:t>
        </w:r>
      </w:hyperlink>
      <w:r>
        <w:rPr>
          <w:rFonts w:ascii="Times New Roman" w:hAnsi="Times New Roman"/>
          <w:b w:val="0"/>
          <w:color w:val="000000"/>
          <w:sz w:val="28"/>
          <w:u w:val="none"/>
        </w:rPr>
        <w:t xml:space="preserve"> транспортного средства, паспорт самоходной машины);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4) для подтверждения оплаты наличным расчетом и получения имущества у физического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документ, на основании которого была произведена оплата (договор);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расписка, расходный кассовый ордер, подтверждающие передачу-получение денежных средств;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документ, подтверждающий получение имущества (акт приема-передачи, </w:t>
      </w:r>
      <w:hyperlink r:id="rId9" w:tooltip="https://internet.garant.ru/document/redirect/72270082/1000" w:history="1">
        <w:r>
          <w:rPr>
            <w:rFonts w:ascii="Times New Roman" w:hAnsi="Times New Roman"/>
            <w:b w:val="0"/>
            <w:color w:val="000000"/>
            <w:sz w:val="28"/>
            <w:u w:val="none"/>
          </w:rPr>
          <w:t xml:space="preserve">паспорт</w:t>
        </w:r>
      </w:hyperlink>
      <w:r>
        <w:rPr>
          <w:rFonts w:ascii="Times New Roman" w:hAnsi="Times New Roman"/>
          <w:b w:val="0"/>
          <w:color w:val="000000"/>
          <w:sz w:val="28"/>
          <w:u w:val="none"/>
        </w:rPr>
        <w:t xml:space="preserve"> транспортного средства, паспорт самоходной машины);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5) 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чек;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платежное поручение с отметкой банка;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указанный в платежном поручении документ, на основании которого была произведена оплата;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г)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 (при наличии);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6)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чек;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документ, подтверждающ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 (при наличии).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9. Справка (в произвольной форме), подтверждающая соответствие участника отбора условиям, установленным пунктами 2–6 части 17 настоящего Порядка.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10.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</w:t>
      </w:r>
      <w:hyperlink r:id="rId10" w:tooltip="https://internet.garant.ru/document/redirect/12154854/0" w:history="1">
        <w:r>
          <w:rPr>
            <w:rFonts w:ascii="Times New Roman" w:hAnsi="Times New Roman"/>
            <w:b w:val="0"/>
            <w:color w:val="000000"/>
            <w:sz w:val="28"/>
            <w:u w:val="none"/>
          </w:rPr>
          <w:t xml:space="preserve">Федеральным законом</w:t>
        </w:r>
      </w:hyperlink>
      <w:r>
        <w:rPr>
          <w:rFonts w:ascii="Times New Roman" w:hAnsi="Times New Roman"/>
          <w:b w:val="0"/>
          <w:color w:val="000000"/>
          <w:sz w:val="28"/>
          <w:u w:val="none"/>
        </w:rPr>
        <w:t xml:space="preserve"> от 24.07.2007 № 209-ФЗ «О разв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итии малого и среднего предпринимательства в Российской Федерации», по форме, утвержденной приказом Министерства (представляется субъектам малого и среднего предпринимательства, срок с даты государственной регистрации которых составляет менее одного года).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document/redirect/72270082/1000" TargetMode="External"/><Relationship Id="rId9" Type="http://schemas.openxmlformats.org/officeDocument/2006/relationships/hyperlink" Target="https://internet.garant.ru/document/redirect/72270082/1000" TargetMode="External"/><Relationship Id="rId10" Type="http://schemas.openxmlformats.org/officeDocument/2006/relationships/hyperlink" Target="https://internet.garant.ru/document/redirect/12154854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lipisaaa</cp:lastModifiedBy>
  <cp:revision>1</cp:revision>
  <dcterms:modified xsi:type="dcterms:W3CDTF">2026-06-24T04:16:17Z</dcterms:modified>
</cp:coreProperties>
</file>