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ind w:left="5528" w:right="0" w:firstLine="0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Приложение 2 к Порядку предоставления из краевого бюджета государственной финансовой поддержки субъектам малого и среднего предпринимательства, созданным физическими лицами в возрасте до 35 лет включительно,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и проведения отбора получателей субсидии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5102" w:right="0" w:firstLine="0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5102" w:right="0" w:firstLine="0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numPr>
          <w:ilvl w:val="0"/>
          <w:numId w:val="0"/>
        </w:numPr>
        <w:ind w:left="0" w:right="0" w:firstLine="0"/>
        <w:jc w:val="center"/>
        <w:keepNext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  <w:outlineLvl w:val="0"/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Перечень </w:t>
        <w:br/>
        <w:t xml:space="preserve">документов, представляемых юридическими лицами для участия в отборе по предоставлению государственной финансовой поддержки субъектам малого и среднего предпринимательства, созданным физическими лицами в возрасте </w:t>
        <w:br/>
        <w:t xml:space="preserve">до 35 лет включительно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1. Согласие на обработку персональных данных руководителя юридического лица, согласие на передачу персональных данных руководителя юридического лица по форме, утвержденной приказом</w:t>
      </w:r>
      <w:r>
        <w:rPr>
          <w:rFonts w:ascii="Times New Roman" w:hAnsi="Times New Roman"/>
          <w:b w:val="0"/>
          <w:color w:val="000000"/>
          <w:sz w:val="28"/>
          <w:u w:val="none"/>
          <w:shd w:val="clear" w:color="auto" w:fill="auto"/>
        </w:rPr>
        <w:t xml:space="preserve"> Министерства экономического развития Камчатского края (далее — Министерство).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2. Согласие на обработку персо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нальных данных учредителя (учредителей) юридического лица в возрасте до 35 лет включительно, согласие на передачу персональных данных учредителя (учредителей) юридического лица в возрасте до 35 лет включительно по форме, утвержденной приказом Министерства.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3. Копия(и) документа(ов), подтверждающих полномочия руководителя юридического лица на осуществление действий от имени юридического лица.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4. Копии всех страниц паспорта руководителя юридического лица.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5. Копии всех страниц паспорта учредителя (учредителей) юридического лица в возрасте до 35 лет включительно.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6. Бизнес-план по форме, утвержденной приказом Министерства.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7. Копия документа, подтверждающего наличие права пользования объектом недвижимого имущества, частью объекта недвижимого имущества (земельный участок, здание, помещение, строение, сооружение), являющимся нежилым, с в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идом разрешенного использования или целевым назначением, допускающим реализацию проекта согласно бизнес-плану, копия акта </w:t>
        <w:br/>
        <w:t xml:space="preserve">приема-передачи объекта недвижимого имущества, части объекта недвижимого имущества (предоставляется в случае если наличие акта приема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-передачи предусмотрено документом, подтверждающим наличие права пользования объектом недвижимого имущества, частью объекта недвижимого имущества). В случае, если для реализации проекта используются несколько объектов недвижимого имущества, частей объекта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(ов) недвижимого имущества (земельный участок, здание, помещение, строение, сооружение), то копии документов, подтверждающих наличие подтвержденного права пользования всеми такими объектами недвижимого имущества, частями объекта (ов) недвижимого имущества.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8. Копия документа, подтверждающего прохождение руководителем или учредителем (одним из учредителей) юридического лица обучения основам предпринимательской деятельности (про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должительность обучения должна составлять не менее 16 часов), или документа, подтверждающего наличие у руководителя или учредителя (одного из учредителей) юридического лица высшего юридического и (или) экономического образования либо профессиональной переп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одготовки по юридическим и (или) экономическим специальностям (для участников отбора срок со дня государственной регистрации которых, включая день государственной регистрации на день обращения за предоставлением субсидии, не превышает 364 календарных дня).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9. Копии договора коммерческой концессии и свидетельства о госуда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в случае реализации проекта в рамках договора коммерческой концессии.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10. Копии документов, подтверждающих софинансирование участником отбора проекта, определенного бизнес-планом, за счет собственных средств в размере не менее 15 процентов от размера субсидии: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1) для подтверждения оплаты безналичным расчетом и получения товаров, имущества, услуг, работ у индивидуального предпринимателя, юридического лица: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платежное поручение с отметкой банка;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указанный в платежном поручении документ, на основании которого была произведена оплата;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в) 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2) для подтверждения оплаты наличным расчетом и получения товаров, имущества, услуг, работ у индивидуального предпринимателя, юридического лица: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кассовый чек;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документ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3) для подтверждения оплаты безналичным расчетом и получения имущества у физического лица: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платежное поручение с отметкой банка;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документ, на основании которого была произведена оплата, указанный в платежном поручении (договор);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в) документ, подтверждающий получение имущества (акт приема-передачи, </w:t>
      </w:r>
      <w:hyperlink r:id="rId8" w:tooltip="https://internet.garant.ru/document/redirect/72270082/1000" w:history="1">
        <w:r>
          <w:rPr>
            <w:rFonts w:ascii="Times New Roman" w:hAnsi="Times New Roman"/>
            <w:b w:val="0"/>
            <w:color w:val="000000"/>
            <w:sz w:val="28"/>
            <w:u w:val="none"/>
          </w:rPr>
          <w:t xml:space="preserve">паспорт</w:t>
        </w:r>
      </w:hyperlink>
      <w:r>
        <w:rPr>
          <w:rFonts w:ascii="Times New Roman" w:hAnsi="Times New Roman"/>
          <w:b w:val="0"/>
          <w:color w:val="000000"/>
          <w:sz w:val="28"/>
          <w:u w:val="none"/>
        </w:rPr>
        <w:t xml:space="preserve"> транспортного средства, паспорт самоходной машины);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4) для подтверждения оплаты наличным расчетом и получения имущества у физического лица: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документ, на основании которого была произведена оплата (договор);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расписка, расходный кассовый ордер, подтверждающие передачу-получение денежных средств;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в) документ, подтверждающий получение имущества (акт приема-передачи, </w:t>
      </w:r>
      <w:hyperlink r:id="rId9" w:tooltip="https://internet.garant.ru/document/redirect/72270082/1000" w:history="1">
        <w:r>
          <w:rPr>
            <w:rFonts w:ascii="Times New Roman" w:hAnsi="Times New Roman"/>
            <w:b w:val="0"/>
            <w:color w:val="000000"/>
            <w:sz w:val="28"/>
            <w:u w:val="none"/>
          </w:rPr>
          <w:t xml:space="preserve">паспорт</w:t>
        </w:r>
      </w:hyperlink>
      <w:r>
        <w:rPr>
          <w:rFonts w:ascii="Times New Roman" w:hAnsi="Times New Roman"/>
          <w:b w:val="0"/>
          <w:color w:val="000000"/>
          <w:sz w:val="28"/>
          <w:u w:val="none"/>
        </w:rPr>
        <w:t xml:space="preserve"> транспортного средства, паспорт самоходной машины).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5) для подтверждения оплаты безналичным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чек;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платежное поручение с отметкой банка;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в) указанный в платежном поручении документ, на основании которого была произведена оплата;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г) 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 (при наличии);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6) для подтверждения оплаты 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чек;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документ, подтверждающ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 (при наличии).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11. Справка (в произвольной форме), подтверждающая соответствие участника отбора</w:t>
      </w:r>
      <w:r>
        <w:rPr>
          <w:rFonts w:ascii="Times New Roman" w:hAnsi="Times New Roman"/>
          <w:b w:val="0"/>
          <w:color w:val="000000"/>
          <w:sz w:val="28"/>
          <w:u w:val="none"/>
          <w:shd w:val="clear" w:color="auto" w:fill="auto"/>
        </w:rPr>
        <w:t xml:space="preserve"> условиям, установленным пунктами 2–6 части 17 н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астоящего Порядка.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12.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</w:t>
      </w:r>
      <w:hyperlink r:id="rId10" w:tooltip="https://internet.garant.ru/document/redirect/12154854/0" w:history="1">
        <w:r>
          <w:rPr>
            <w:rFonts w:ascii="Times New Roman" w:hAnsi="Times New Roman"/>
            <w:b w:val="0"/>
            <w:color w:val="000000"/>
            <w:sz w:val="28"/>
            <w:u w:val="none"/>
          </w:rPr>
          <w:t xml:space="preserve">Федеральным законом</w:t>
        </w:r>
      </w:hyperlink>
      <w:r>
        <w:rPr>
          <w:rFonts w:ascii="Times New Roman" w:hAnsi="Times New Roman"/>
          <w:b w:val="0"/>
          <w:color w:val="000000"/>
          <w:sz w:val="28"/>
          <w:u w:val="none"/>
        </w:rPr>
        <w:t xml:space="preserve"> о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т 24.07.2007 № 209-ФЗ «О развитии малого и среднего предпринимательства в Российской Федерации», по форме, утвержденной приказом Министерства (представляется участниками отбора, срок с даты государственной регистрации которых составляет менее одного года).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document/redirect/72270082/1000" TargetMode="External"/><Relationship Id="rId9" Type="http://schemas.openxmlformats.org/officeDocument/2006/relationships/hyperlink" Target="https://internet.garant.ru/document/redirect/72270082/1000" TargetMode="External"/><Relationship Id="rId10" Type="http://schemas.openxmlformats.org/officeDocument/2006/relationships/hyperlink" Target="https://internet.garant.ru/document/redirect/12154854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lipisaaa</cp:lastModifiedBy>
  <cp:revision>1</cp:revision>
  <dcterms:modified xsi:type="dcterms:W3CDTF">2026-06-24T04:20:30Z</dcterms:modified>
</cp:coreProperties>
</file>