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8"/>
        <w:ind w:left="5386" w:right="0" w:firstLine="0"/>
        <w:jc w:val="both"/>
        <w:spacing w:before="0" w:after="0" w:line="240" w:lineRule="auto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Приложение 3 к Порядку предоставления из краевого бюджета государственной финансовой поддержки субъектам малого и среднего предпринимательства, созданным физическими лицами в возрасте до 35 лет включительно, </w:t>
      </w:r>
      <w:r>
        <w:rPr>
          <w:rFonts w:ascii="Times New Roman" w:hAnsi="Times New Roman"/>
          <w:b w:val="0"/>
          <w:color w:val="000000"/>
          <w:sz w:val="28"/>
          <w:u w:val="none"/>
        </w:rPr>
        <w:br/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и проведения отбора получателей субсидии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jc w:val="both"/>
        <w:spacing w:before="0" w:after="0" w:line="240" w:lineRule="auto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jc w:val="both"/>
        <w:spacing w:before="0" w:after="0" w:line="240" w:lineRule="auto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numPr>
          <w:ilvl w:val="0"/>
          <w:numId w:val="0"/>
        </w:numPr>
        <w:ind w:left="0" w:right="0" w:firstLine="0"/>
        <w:jc w:val="center"/>
        <w:keepNext/>
        <w:spacing w:before="0" w:after="0" w:line="240" w:lineRule="auto"/>
        <w:rPr>
          <w:rFonts w:ascii="Times New Roman" w:hAnsi="Times New Roman"/>
          <w:b w:val="0"/>
          <w:color w:val="000000"/>
          <w:sz w:val="28"/>
          <w:u w:val="none"/>
        </w:rPr>
        <w:outlineLvl w:val="0"/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Критерии </w:t>
        <w:br/>
        <w:t xml:space="preserve">оценки заявок участников отбора по предоставлению государственной финансовой поддержки субъектам малого и среднего предпринимательства, созданным физическими лицами в возрасте до 35 лет включительно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numPr>
          <w:ilvl w:val="0"/>
          <w:numId w:val="0"/>
        </w:numPr>
        <w:ind w:left="0" w:right="0" w:firstLine="0"/>
        <w:jc w:val="center"/>
        <w:keepNext/>
        <w:spacing w:before="0" w:after="0" w:line="240" w:lineRule="auto"/>
        <w:rPr>
          <w:rFonts w:ascii="Times New Roman" w:hAnsi="Times New Roman"/>
          <w:b w:val="0"/>
          <w:color w:val="000000"/>
          <w:sz w:val="28"/>
          <w:u w:val="none"/>
        </w:rPr>
        <w:outlineLvl w:val="0"/>
      </w:pP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numPr>
          <w:ilvl w:val="0"/>
          <w:numId w:val="0"/>
        </w:numPr>
        <w:ind w:left="0" w:right="0" w:firstLine="0"/>
        <w:jc w:val="center"/>
        <w:spacing w:before="0" w:after="0" w:line="240" w:lineRule="auto"/>
        <w:rPr>
          <w:rFonts w:ascii="Times New Roman" w:hAnsi="Times New Roman"/>
          <w:b w:val="0"/>
          <w:color w:val="000000"/>
          <w:sz w:val="28"/>
          <w:u w:val="none"/>
        </w:rPr>
        <w:outlineLvl w:val="0"/>
      </w:pP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tbl>
      <w:tblPr>
        <w:tblStyle w:val="619"/>
        <w:tblW w:w="9637" w:type="dxa"/>
        <w:tblInd w:w="12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43"/>
        <w:gridCol w:w="4887"/>
        <w:gridCol w:w="1962"/>
        <w:gridCol w:w="2044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№ </w:t>
            </w:r>
            <w:r>
              <w:rPr>
                <w:sz w:val="22"/>
                <w:szCs w:val="20"/>
              </w:rPr>
              <w:br/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п/п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7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Наименование показателя критерия оценки заявок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2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Удельный вес критерия оценки, величина значимости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2044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Максимальное значение показателя критерия, баллов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</w:tbl>
    <w:p>
      <w:pPr>
        <w:pStyle w:val="618"/>
        <w:numPr>
          <w:ilvl w:val="0"/>
          <w:numId w:val="0"/>
        </w:numPr>
        <w:ind w:left="0" w:right="0" w:firstLine="0"/>
        <w:jc w:val="center"/>
        <w:keepNext/>
        <w:spacing w:before="0" w:after="0" w:line="240" w:lineRule="auto"/>
        <w:rPr>
          <w:rFonts w:ascii="Times New Roman" w:hAnsi="Times New Roman"/>
          <w:b w:val="0"/>
          <w:color w:val="000000"/>
          <w:sz w:val="12"/>
          <w:szCs w:val="12"/>
          <w:u w:val="none"/>
        </w:rPr>
        <w:outlineLvl w:val="0"/>
      </w:pPr>
      <w:r>
        <w:rPr>
          <w:rFonts w:ascii="Times New Roman" w:hAnsi="Times New Roman"/>
          <w:b w:val="0"/>
          <w:color w:val="000000"/>
          <w:sz w:val="12"/>
          <w:szCs w:val="12"/>
          <w:u w:val="none"/>
        </w:rPr>
      </w:r>
      <w:r>
        <w:rPr>
          <w:rFonts w:ascii="Times New Roman" w:hAnsi="Times New Roman"/>
          <w:b w:val="0"/>
          <w:color w:val="000000"/>
          <w:sz w:val="12"/>
          <w:szCs w:val="12"/>
          <w:u w:val="none"/>
        </w:rPr>
      </w:r>
      <w:r>
        <w:rPr>
          <w:rFonts w:ascii="Times New Roman" w:hAnsi="Times New Roman"/>
          <w:b w:val="0"/>
          <w:color w:val="000000"/>
          <w:sz w:val="12"/>
          <w:szCs w:val="12"/>
          <w:u w:val="none"/>
        </w:rPr>
      </w:r>
    </w:p>
    <w:tbl>
      <w:tblPr>
        <w:tblStyle w:val="619"/>
        <w:tblW w:w="9637" w:type="dxa"/>
        <w:tblInd w:w="12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43"/>
        <w:gridCol w:w="4888"/>
        <w:gridCol w:w="1961"/>
        <w:gridCol w:w="2044"/>
      </w:tblGrid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8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2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1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3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2044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4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89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Критерий оценки заявок «Территориальный признак»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1.1.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8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Участник отбора реализует проект на земельных участках, предоставленных в соответствии с </w:t>
            </w:r>
            <w:hyperlink r:id="rId8" w:tooltip="https://mobileonline.garant.ru/document/redirect/71388648/0" w:history="1">
              <w:r>
                <w:rPr>
                  <w:rFonts w:ascii="Times New Roman" w:hAnsi="Times New Roman"/>
                  <w:b w:val="0"/>
                  <w:color w:val="000000"/>
                  <w:sz w:val="24"/>
                  <w:szCs w:val="20"/>
                  <w:u w:val="none"/>
                </w:rPr>
                <w:t xml:space="preserve">Федеральным законом</w:t>
              </w:r>
            </w:hyperlink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br/>
              <w:t xml:space="preserve">от 01.05.2016 № 119-ФЗ «Об особенностях предоставления гражданам земельных участков, находящихся в госуд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Федерации»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1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0,02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2044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50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1.2.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8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Участник отбора реализует проект в одном из следующих муниципальных образований в Камчатском крае: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1) в городском округе «поселок Палана»;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2) в Карагинском муниципальном районе;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3) в Тигильском муниципальном округе;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4) в Олюторском муниципальном районе;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5) в Соболевском муниципальном округе;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6) в Пенжинском муниципальном районе;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7) в Алеутском муниципальном округе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1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0,02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2044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50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1.3.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8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Участник отбора не реализует проект на вышеуказанных приоритетных территориях Камчатского края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1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0,02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2044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2.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889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Критерий оценки заявок «Уникальность проекта»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2.1.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8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Обозначена и аргументирована уникальность проекта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1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0,05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2044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100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2.2.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8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Обозначена, но не аргументирована уникальность проекта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1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0,05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2044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50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2.3.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8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Проект не уникален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1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0,05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2044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3.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889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Критерий оценки заявок «Обоснованность практической значимости проекта для реального сектора экономики»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3.1.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8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Представлена подробная информация о возможности практического применения проекта на территории Камчатского края и аргументирована применимость проекта в реальных жизненных условиях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1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0,05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2044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100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3.2.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8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Представлена краткая информация о возможности практического применения проекта на территории Камчатского края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1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0,05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2044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50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3.3.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8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Отсутствие практической значимости для Камчатского края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1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0,05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2044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4.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8893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Критерий оценки заявок «Оценка бизнес-плана. Описание предприятия и отрасли»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4.1.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8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Раздел содержит подробную информацию о проекте, описана сезонность и особенности ведения бизнеса, описана необходимость и наличие разрешительных документов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1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0,14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2044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100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4.2.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8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В разделе нет описаний особенностей ведения бизнеса, не описана сезонность, имеются несоответствия с другими разделами бизнес-плана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1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0,14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2044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50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4.3.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8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Не все разделы заполнены, либо некоторые вопросы остались без ответа, представлена очень краткая информация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1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0,14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2044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5.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8893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Критерий оценки заявок «Оценка бизнес-плана. Анализ рынка»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5.1.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8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В разделе указаны потенциальные покупатели и конкуренты, подробно описаны детали, характеризующие покупателей, недостатки и преимущества конкурентов, представлена полная информация о том, как производился анализ рынка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1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0,14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2044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100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5.2.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8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В разделе анализ рынка указаны потенциальные покупатели и конкуренты, но не указаны детали, описывающие покупателей, недостатки и преимущества конкурентов, нет информации о том, как была получена информация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1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0,14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2044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50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5.3.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8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Не все разделы заполнены, либо некоторые вопросы остались без ответа, представлена очень краткая информация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1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0,14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2044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6.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8893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Критерий оценки заявок «Оценка бизнес-плана. План маркетинга»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6.1.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8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tabs>
                <w:tab w:val="clear" w:pos="708" w:leader="none"/>
                <w:tab w:val="left" w:pos="850" w:leader="none"/>
              </w:tabs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Раздел соде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ржит подробное описание таких частей маркетингового плана, как ассортимент и привлекательные качества товара или услуги, ценообразование, способы продвижения товара или услуги, информацию о затратах, которые необходимо понести для реализации данного плана.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Не все разделы заполнены, либо некоторые вопросы остались без ответа, представлена очень краткая информация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1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0,14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2044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100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6.2.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8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Мар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кетинговый план содержит описание только тех действий, которые отвечают за распространение информации о данном предприятии (реклама), действия описаны без подробных деталей, нет информации о затратах, которые необходимо понести для реализации данного плана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1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0,14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2044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50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6.3.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8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Не все разделы заполнены, либо некоторые вопросы остались без ответа, представлена очень краткая информация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1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0,14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2044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7.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8893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Критерий оценки заявок «Оценка бизнес-плана. Производственный план»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7.1.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8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Раздел содержит п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одробную информацию о наличии основных средств или материалов (в том числе за счет средств финансовой поддержки), описание процесса, описание планируемого дохода, информация в разделе подтверждает способность участника отбора получить запланированный доход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1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0,14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2044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100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7.2.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8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Раздел не содержит информацию, которая позволяет оценить способность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 субъектов малого и среднего предпринимательства получить запланированный доход, доход указан без учета сезонности, есть несоответствия по организации осуществления деятельности и количеству работников участника отбора, занятых в осуществлении деятельности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1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0,14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2044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50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7.3.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8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Не все разделы заполнены, либо некоторые вопросы остались без ответа, представлена очень краткая информация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1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0,14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2044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8.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8893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Критерий оценки заявок «Оценка бизнес-плана. План движения денежных средств»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8.1.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8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План движения денежных средств содержит все статьи расходов, данные в плане движения средств соответствуют бизнес-плану и законодательству Российской Федерации, доходы отражены с учетом сезонности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1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0,14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2044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100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8.2.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8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План движ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ения денежных средств содержит не все статьи расходов, данные в плане движения денежных средств содержат несоответствия с бизнес-планом в одном —  двух пунктах, доходы отражены без учета сезонности, есть несоответствия законодательству Российской Федерации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1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0,14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2044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50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8.3.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8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План движения денежных средств содержит не все статьи расходов, данные в плане движения средств содержат несоответствия с бизнес-планом в более чем двух пунктах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1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0,14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2044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9.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8893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Критерий оценки заявок «Использование средств субсидии»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9.1.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8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51 % и больше средств субсидии направлены на приобретение основных средств, таких как оборудование, устройств, механизмов, инструментов и т.д.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1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0,08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2044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100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9.2.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8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50 % и меньше средств субсидии направлены на приобретение основных средств, таких как оборудование, устройств, механизмов, инструментов и т.д.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1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0,08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2044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50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9.3.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8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Средства субсидии направлены на расходы, которые не являются необходимыми для создания данного проекта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1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0,08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2044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10.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8893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Критерий оценки заявок «Описание проекта при защите бизнес-проекта»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10.1.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8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Подробно описан реализуемый проект, информация представлена в полном объеме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1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0,02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2044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100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10.2.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8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Кратко описан реализуемый проект, информация представлена не в полном объеме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1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0,02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2044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50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10.3.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8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Участник отбора не смог принять участие в защите проекта лично либо обеспечить присутствие на защите своего законного представителя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1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0,02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2044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11.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8893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Критерий оценки заявок «Описание этапов реализации проекта при защите бизнес-проекта»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11.1.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8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Подробно описаны этапы реализации проекта, информация об их реализации представлена в полном объеме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1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0,02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2044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100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11.2.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8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Кратко описаны этапы реализации проекта, информация представлена не в полном объеме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1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0,02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2044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50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11.3.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8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Участник отбора не смог принять участие в защите проекта лично либо обеспечить присутствие на защите своего законного представителя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1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0,02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2044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12.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8893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Критерий оценки заявок «Описание стоимости проекта, направлений расходования средств субсидии, источников привлечения финансирования при защите бизнес-проекта»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12.1.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8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Подробно описаны стоимость проекта, направления расходования средств субсидии, источники привлечения финансирования, информация представлена в полном объеме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1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0,02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2044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100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12.2.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8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Кратко описаны стоимость проекта, направления расходования средств субсидии, источники привлечения финансирования, информация представлена не в полном объеме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1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0,02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2044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50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12.3.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8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Участник отбора не смог принять участие в защите проекта лично либо обеспечить присутствие на защите своего законного представителя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1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0,02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2044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13.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8893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Критерий оценки заявок «Описание результата реализации проекта при защите бизнес-проекта»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13.1.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8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Подробно описан результат реализации проекта, информация представлена в полном объеме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1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0,02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2044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100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13.2.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8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Кратко описан результат реализации проекта, информация представлена не в полном объеме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1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0,02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2044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50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13.3.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8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Участник отбора не смог принять участие в защите проекта лично либо обеспечить присутствие на защите своего законного представителя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1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0,02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2044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14.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8893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Критерий оценки заявок «Ответы на вопросы при защите бизнес-проекта»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14.1.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4888" w:type="dxa"/>
            <w:textDirection w:val="lrTb"/>
            <w:noWrap w:val="false"/>
          </w:tcPr>
          <w:p>
            <w:pPr>
              <w:pStyle w:val="618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При оценке критерия 100 – максимальн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ый балл (ответы на вопросы хорошо аргументированы и демонстрируют осведомленность в теме), 0 – минимальный балл (участник отбора не смог принять участие в защите проекта, ответы на вопросы не аргументированы либо участник отбора не смог ответить на вопрос)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61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0,02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2044" w:type="dxa"/>
            <w:vAlign w:val="center"/>
            <w:textDirection w:val="lrTb"/>
            <w:noWrap w:val="false"/>
          </w:tcPr>
          <w:p>
            <w:pPr>
              <w:pStyle w:val="618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0"/>
                <w:u w:val="none"/>
              </w:rPr>
              <w:t xml:space="preserve">100–0</w:t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r>
          </w:p>
        </w:tc>
      </w:tr>
    </w:tbl>
    <w:p>
      <w:pPr>
        <w:pStyle w:val="618"/>
        <w:numPr>
          <w:ilvl w:val="0"/>
          <w:numId w:val="0"/>
        </w:numPr>
        <w:ind w:left="0" w:right="0" w:firstLine="0"/>
        <w:jc w:val="both"/>
        <w:keepNext/>
        <w:spacing w:before="240" w:after="120" w:line="240" w:lineRule="auto"/>
        <w:rPr>
          <w:rFonts w:ascii="Times New Roman" w:hAnsi="Times New Roman"/>
          <w:b w:val="0"/>
          <w:color w:val="000000"/>
          <w:sz w:val="28"/>
          <w:u w:val="none"/>
        </w:rPr>
        <w:outlineLvl w:val="0"/>
      </w:pP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basedOn w:val="618"/>
    <w:uiPriority w:val="1"/>
    <w:qFormat/>
    <w:pPr>
      <w:spacing w:after="0" w:line="240" w:lineRule="auto"/>
    </w:pPr>
  </w:style>
  <w:style w:type="paragraph" w:styleId="622">
    <w:name w:val="List Paragraph"/>
    <w:basedOn w:val="618"/>
    <w:uiPriority w:val="34"/>
    <w:qFormat/>
    <w:pPr>
      <w:contextualSpacing/>
      <w:ind w:left="720"/>
    </w:pPr>
  </w:style>
  <w:style w:type="character" w:styleId="62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mobileonline.garant.ru/document/redirect/71388648/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lipisaaa</cp:lastModifiedBy>
  <cp:revision>1</cp:revision>
  <dcterms:modified xsi:type="dcterms:W3CDTF">2026-06-24T04:21:04Z</dcterms:modified>
</cp:coreProperties>
</file>